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567/2023 vom 16. Oktober 2023</w:t>
      </w:r>
    </w:p>
    <w:p>
      <w:r>
        <w:t>Bundesgericht, 2023-10-16, FR</w:t>
      </w:r>
    </w:p>
    <w:p>
      <w:r>
        <w:rPr>
          <w:b/>
        </w:rPr>
        <w:t xml:space="preserve">Quelle: </w:t>
      </w:r>
      <w:r>
        <w:t>https://mcp.opencaselaw.ch/entscheid/bger_2C_567_2023</w:t>
      </w:r>
    </w:p>
    <w:p>
      <w:r>
        <w:t>FR: TF 2C 567/2023 du 16 octobre 2023</w:t>
      </w:r>
    </w:p>
    <w:p>
      <w:r>
        <w:t>IT: TF 2C 567/2023 del 16 ottobre 2023</w:t>
      </w:r>
    </w:p>
    <w:p>
      <w:pPr>
        <w:pStyle w:val="Heading2"/>
      </w:pPr>
      <w:r>
        <w:t>Regeste</w:t>
      </w:r>
    </w:p>
    <w:p>
      <w:r>
        <w:t>Révocation de l'autorisation d'établissement, délai de recours | Droit de cité et droit des étrangers</w:t>
      </w:r>
    </w:p>
    <w:p>
      <w:pPr>
        <w:pStyle w:val="Heading2"/>
      </w:pPr>
      <w:r>
        <w:t>Erwägungen</w:t>
      </w:r>
    </w:p>
    <w:p>
      <w:r>
        <w:rPr>
          <w:b/>
        </w:rPr>
        <w:t>E. 1</w:t>
      </w:r>
    </w:p>
    <w:p>
      <w:r>
        <w:t>Par une décision du 16 février 2023, le Département de l'économie, de l'emploi et du patrimoine du canton de Vaud a révoqué l'autorisation d'établissement de A.________.</w:t>
      </w:r>
    </w:p>
    <w:p>
      <w:r>
        <w:rPr>
          <w:b/>
        </w:rPr>
        <w:t>E. 2</w:t>
      </w:r>
    </w:p>
    <w:p>
      <w:r>
        <w:t>Par arrêt du 13 septembre 2023, le Tribunal cantonal du canton de Vaud à déclarer irrecevable pour cause de tardiveté le recours que A.________ avait interjeté le 5 juillet 2023 contre la décision rendue le 16 février 2023 par le Département de l'économie, de l'emploi et du patrimoine.</w:t>
      </w:r>
    </w:p>
    <w:p>
      <w:r>
        <w:rPr>
          <w:b/>
        </w:rPr>
        <w:t>E. 3</w:t>
      </w:r>
    </w:p>
    <w:p>
      <w:r>
        <w:t>Par lettre manuscrite datée du 12 octobre 2023, A.________ demande au Tribunal fédéral de réviser la décision du Tribunal cantonal du 13 septembre 2023. Il expose avoir eu des attestations médicales qui démontrent la détérioration de sa santé. Il n'a pas été ordonné d'échanges des écritures.</w:t>
      </w:r>
    </w:p>
    <w:p>
      <w:r>
        <w:rPr>
          <w:b/>
        </w:rPr>
        <w:t>E. 4.1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4.2</w:t>
      </w:r>
    </w:p>
    <w:p>
      <w:r>
        <w:t>En l'occurrence, le courrier déposé par le recourant est dénué de toute motivation juridique. Il se contente d'affirmer qu'il dispose d'attestations médicales, sans que l'on comprenne du reste leur rôle dans la procédure, en particulier le lien entre celles-ci et le non-respect du délai de recours sur le plan cantonal, alors qu'il lui incombait de motiver son recours et d'expliquer en quoi l'arrêt attaqué violait le droit. Le recours ne remplit dès lors pas les exigences minimales de recevabilité d'un recours au Tribunal fédéral.</w:t>
      </w:r>
    </w:p>
    <w:p>
      <w:r>
        <w:rPr>
          <w:b/>
        </w:rPr>
        <w:t>E. 5</w:t>
      </w:r>
    </w:p>
    <w:p>
      <w:r>
        <w:t>Les considérants qui précèdent conduisent à l'irrecevabilité manifeste du recours ( art. 108 al. 1 let. b LTF ) qui est prononcée selon la procédure simplifiée de l' art. 108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