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2C_567/2019 vom 18. Juni 2019</w:t>
      </w:r>
    </w:p>
    <w:p>
      <w:r>
        <w:t>Bundesgericht, 2019-06-18, FR</w:t>
      </w:r>
    </w:p>
    <w:p>
      <w:r>
        <w:rPr>
          <w:b/>
        </w:rPr>
        <w:t xml:space="preserve">Quelle: </w:t>
      </w:r>
      <w:r>
        <w:t>https://mcp.opencaselaw.ch/entscheid/bger_2C_567_2019</w:t>
      </w:r>
    </w:p>
    <w:p>
      <w:r>
        <w:t>FR: TF 2C_567/2019 du 18 juin 2019</w:t>
      </w:r>
    </w:p>
    <w:p>
      <w:r>
        <w:t>IT: TF 2C_567/2019 del 18 giugno 2019</w:t>
      </w:r>
    </w:p>
    <w:p>
      <w:pPr>
        <w:pStyle w:val="Heading2"/>
      </w:pPr>
      <w:r>
        <w:t>Erwägungen</w:t>
      </w:r>
    </w:p>
    <w:p>
      <w:r>
        <w:rPr>
          <w:b/>
        </w:rPr>
        <w:t>E. 1</w:t>
      </w:r>
    </w:p>
    <w:p>
      <w:r>
        <w:t>Par arrêt du 30 avril 2019, notifié le 6 mai 2019, la Cour de justice du canton de Genève a déclaré irrecevable le recours que A.________ a déposé contre la décision rendue le 12 novembre 2018 par la Commission du Barreau du canton de Genève de classer sans suite la dénonciation qu'il avait déposée à l'encontre de B.________ et C.________.</w:t>
      </w:r>
    </w:p>
    <w:p>
      <w:r>
        <w:rPr>
          <w:b/>
        </w:rPr>
        <w:t>E. 2</w:t>
      </w:r>
    </w:p>
    <w:p>
      <w:r>
        <w:t>Par courrier du 13 juin 2019, A.________ dépose un recours contre l'arrêt rendu le 30 avril 2019 par la Cour de justice du canton de Genève. Il demande au Tribunal fédéral d'annuler l'arrêt rendu le 30 avril 2019 et de dire que B.________ et C.________ ont violé les dispositions légales découlant de leur qualité d'avocat et qu'il convient de les sanctionner. Il demande l'assistance judiciaire.</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le litige porte uniquement sur l'irrecevabilité prononcée par la Cour de justice du canton de Genève et non pas sur le refus de suivre la dénonciation. Or, le recourant ne formule aucun grief à l'encontre des motifs exposés par l'instance précédente en relation avec dite irrecevabilité.</w:t>
      </w:r>
    </w:p>
    <w:p>
      <w:r>
        <w:t>A supposer que le recourant ait formulé des griefs recevables, ils auraient dû être rejetés. Selon la jurisprudence, la seule qualité de plaignant ou de dénonciateur ne donne pas le droit de recourir contre la décision prise.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Par conséquent, c'est à bon droit que l'instance précédente a nié la qualité pour recourir du recourant.</w:t>
      </w:r>
    </w:p>
    <w:p>
      <w:r>
        <w:rPr>
          <w:b/>
        </w:rPr>
        <w:t>E. 4</w:t>
      </w:r>
    </w:p>
    <w:p>
      <w:r>
        <w:t>Le présent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