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2C_566/2017 vom 23. Juni 2017</w:t>
      </w:r>
    </w:p>
    <w:p>
      <w:r>
        <w:t>Bundesgericht, 2017-06-23, DE</w:t>
      </w:r>
    </w:p>
    <w:p>
      <w:r>
        <w:rPr>
          <w:b/>
        </w:rPr>
        <w:t xml:space="preserve">Quelle: </w:t>
      </w:r>
      <w:r>
        <w:t>https://mcp.opencaselaw.ch/entscheid/bger_2C_566_2017</w:t>
      </w:r>
    </w:p>
    <w:p>
      <w:r>
        <w:t>FR: TF 2C_566/2017 du 23 juin 2017</w:t>
      </w:r>
    </w:p>
    <w:p>
      <w:r>
        <w:t>IT: TF 2C_566/2017 del 23 giugno 2017</w:t>
      </w:r>
    </w:p>
    <w:p>
      <w:pPr>
        <w:pStyle w:val="Heading2"/>
      </w:pPr>
      <w:r>
        <w:t>Erwägungen</w:t>
      </w:r>
    </w:p>
    <w:p>
      <w:r>
        <w:rPr>
          <w:b/>
        </w:rPr>
        <w:t>E. 1</w:t>
      </w:r>
    </w:p>
    <w:p>
      <w:r>
        <w:t>Der Vorstand der Allgemeinen Baugenossenschaft Zürich (ABZ) schloss A.________ am 9. März 2017 aus der ABZ aus. A.________ gelangte dagegen mit Beschwerde vom 5. Juni 2017 an das Verwaltungsgericht des Kantons Zürich. Mit Verfügung vom 9. Juni 2017 trat der Einzelrichter am Verwaltungsgericht des Kantons Zürich auf die Beschwerde nicht ein. Mit Beschwerde, datiert vom 14. Juni 2017, gelangt A.________ gegen diese Verfügung an das Bundesgericht.</w:t>
      </w:r>
    </w:p>
    <w:p>
      <w:r>
        <w:rPr>
          <w:b/>
        </w:rPr>
        <w:t>E. 2</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der angefochtenen Verfügung hat die Vorinstanz erwogen, privatrechtliche Streitigkeiten wie die vorliegende müssten mangels einer Sondervorschrift, die auf den Verwaltungsrechtspflegeweg verwiesen, vor den Zivilgerichten ausgetragen werden, weshalb auf die Beschwerde mangels (sachlicher) Zuständigkeit nicht eingetreten werden könne. Da Streitgegenstand des bundesgerichtlichen Verfahrens nur das Eintreten der Vorinstanz auf die Beschwerde des Beschwerdeführers vom 5. Juni 2017 sein kann (Urteil 2C_747/2013 vom 8. September 2014 E. 2.1), zielen die Ausführungen in der Beschwerdeschrift an das Bundesgericht zu materiellen Rechtsverletzungen ins Leere. Soweit sich der Eingabe des Beschwerdeführers an das Bundesgericht prozessuale Ausführungen entnehmen lassen, legen sie auch nicht ansatzweise dar, inwiefern der Einzelrichter am Verwaltungsgericht des Kantons Zürich in diesem Punkt den Sachverhalt offensichtlich unrichtig erhoben hätte oder bei der Anwendung von Verfahrensbestimmungen schweizerisches Recht verletzt haben könnte. Die Eingabe enthält offensichtlich keine den Anforderungen von Art. 42 Abs. 2 BGG genügende sachbezogene Begründung, und es ist darauf mit Entscheid des präsidierenden Mitglieds als Einzelrichter im vereinfachten Verfahren nach Art. 108 BGG nicht einzutreten. Bei diesem Verfahrensausgang sind die Gerichtskosten des bundesgerichtlichen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