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563/2022 vom 31. Oktober 2022</w:t>
      </w:r>
    </w:p>
    <w:p>
      <w:r>
        <w:t>Bundesgericht, 2022-10-31, DE</w:t>
      </w:r>
    </w:p>
    <w:p>
      <w:r>
        <w:rPr>
          <w:b/>
        </w:rPr>
        <w:t xml:space="preserve">Quelle: </w:t>
      </w:r>
      <w:r>
        <w:t>https://mcp.opencaselaw.ch/entscheid/bger_2C_563_2022</w:t>
      </w:r>
    </w:p>
    <w:p>
      <w:r>
        <w:t>FR: TF 2C 563/2022 du 31 octobre 2022</w:t>
      </w:r>
    </w:p>
    <w:p>
      <w:r>
        <w:t>IT: TF 2C 563/2022 del 31 ottobre 2022</w:t>
      </w:r>
    </w:p>
    <w:p>
      <w:pPr>
        <w:pStyle w:val="Heading2"/>
      </w:pPr>
      <w:r>
        <w:t>Regeste</w:t>
      </w:r>
    </w:p>
    <w:p>
      <w:r>
        <w:t>Mehrwertsteuer, Steuerperioden 2012-2016 | Öffentliche Finanzen &amp; Abgaberecht</w:t>
      </w:r>
    </w:p>
    <w:p>
      <w:pPr>
        <w:pStyle w:val="Heading2"/>
      </w:pPr>
      <w:r>
        <w:t>Erwägungen</w:t>
      </w:r>
    </w:p>
    <w:p>
      <w:r>
        <w:rPr>
          <w:b/>
        </w:rPr>
        <w:t>E. 1.1</w:t>
      </w:r>
    </w:p>
    <w:p>
      <w:r>
        <w:t>Die Voraussetzungen der Beschwerde in öffentlich-rechtlichen Angelegenheiten (Art. 82 lit. a, Art. 83 e contrario, Art. 86 Abs. 1 lit. a, Art. 89 Abs. 1 und Art. 100 Abs. 1 BGG ), die das Bundesgericht von Amtes wegen ( Art. 29 Abs. 1 BGG [SR 173.110]) und mit freier Kognition untersucht ( Art. 95 lit. a BGG ; BGE 148 I 160 E. 1 Ingress; 148 IV 155 E. 1.1), sind unter Vorbehalt des Nachfolgenden gegeben.</w:t>
      </w:r>
    </w:p>
    <w:p>
      <w:r>
        <w:rPr>
          <w:b/>
        </w:rPr>
        <w:t>E. 1.2</w:t>
      </w:r>
    </w:p>
    <w:p>
      <w:r>
        <w:t>Zu prüfen bleibt der Streitgegenstand und dessen Qualifikation unter dem Gesichtspunkt von Art. 90 ff. BGG . Die Mietergesellschaft rügt, dass sie zugunsten des wirtschaftlich Berechtigten keine Leistungen erbracht habe; vielmehr habe dieser einzig Leistungen seitens der Betreibergesellschaft empfangen (Sachverhalt, lit. G.b). Die angeblichen Leistungen seien ohnehin unzutreffend bemessen worden (Sachverhalt, lit. G.c). Vor dem Hintergrund dieser Begründung und mit Blick auf die eher aussergewöhnlich formulierten Anträge (Sachverhalt, lit. G.a) zeigt sich, dass der Hauptpunkt unangefochten bleibt. Zur Nachbelastung von Fr. 77'418.40 ([Unter-]Mietverhältnis mit der Betreibergesellschaft) ist weder ein Antrag noch eine Begründung ersichtlich. In diesem Umfang ist der angefochtene Entscheid in Rechtskraft erwachsen; er ist mithin teilrechtskräftig geworden.</w:t>
      </w:r>
    </w:p>
    <w:p>
      <w:r>
        <w:rPr>
          <w:b/>
        </w:rPr>
        <w:t>E. 1.3.1</w:t>
      </w:r>
    </w:p>
    <w:p>
      <w:r>
        <w:t>Das Bundesgericht soll sich der Konzeption nach nur einmal mit derselben Angelegenheit befassen müssen und diese hierbei abschliessend beurteilen können (Einheit des Verfahrens; BGE 144 III 475 E. 1.2; 144 III 253 E. 1.3; je mit Hinweisen). Die Beschwerde ist daher grundsätzlich nur zulässig gegen Entscheide, die das Verfahren ganz oder teilweise abschliessen (End- oder Teilentscheide gemäss Art. 90 und 91 BGG ). Selbständig eröffnete Vor- und Zwischenentscheide ( Art. 92 und 93 BGG ) schliessen das Verfahren nicht ab; die Hauptsache ist weiterhin hängig ( BGE 145 II 168 E. 2). Sie bilden damit keinen End- oder Teilentscheid ( BGE 148 IV 155 E. 1.1).</w:t>
      </w:r>
    </w:p>
    <w:p>
      <w:r>
        <w:rPr>
          <w:b/>
        </w:rPr>
        <w:t>E. 1.3.2</w:t>
      </w:r>
    </w:p>
    <w:p>
      <w:r>
        <w:t>Beschwerden gegen selbständig eröffnete Vor- und Zwischenentscheide sind vor Bundesgericht nur in drei Konstellationen zulässig. Selbständige Anfechtbarkeit besteht, wenn der Vor- oder Zwischenentscheid die Zuständigkeit oder den Ausstand betrifft ( Art. 92 BGG ; BGE 148 IV 155 E. 1.1; 147 III 159 E. 3; 145 IV 228 E. 1), wenn er einen nicht wieder gutzumachenden Nachteil bewirken kann ( Art. 93 Abs. 1 lit. a BGG ; BGE 147 III 159 E. 4.1) oder wenn die Gutheissung der Beschwerde sofort einen Endentscheid herbeiführen und damit einen bedeutenden Aufwand an Zeit oder Kosten für ein weitläufiges Beweisverfahren ersparen würde ( Art. 93 Abs. 1 lit. b BGG ; BGE 146 I 36 E. 2.2; zur doppelten Voraussetzung insbesondere BGE 143 III 290 E. 1.4; Urteile 2C_672/2021 vom 18. Mai 2022 E. 1.2.2; 2C_1014/2021 vom 6. Januar 2022 E. 2.3.2).</w:t>
      </w:r>
    </w:p>
    <w:p>
      <w:r>
        <w:rPr>
          <w:b/>
        </w:rPr>
        <w:t>E. 1.3.3</w:t>
      </w:r>
    </w:p>
    <w:p>
      <w:r>
        <w:t>Nach ständiger Praxis ist Art. 93 Abs. 1 BGG restriktiv zu handhaben, zumal selbständig eröffnete Vor- und Zwischenentscheide mit Beschwerde gegen den noch zu treffenden Endentscheid angefochten werden können, soweit sie sich auf dessen Inhalt auswirken ( Art. 93 Abs. 3 BGG ; BGE 144 III 253 E. 1.3; 144 III 475 E. 1.2). Praxisgemäss obliegt es der beschwerdeführenden Person darzutun, dass einer der Tatbestände von Art. 93 Abs. 1 BGG erfüllt ist, es sei denn, deren Vorliegen springe geradezu in die Augen (Urteile 4A_295/2020 vom 28. Dezember 2020 E. 1.2, nicht publ. in: BGE 147 III 78 ; 4A_125/2020 vom 10. Dezember 2020 E. 1.3, nicht publ. in: BGE 147 III 139 ; BGE 142 V 26 E. 1.2; 141 IV 1 E. 1.1).</w:t>
      </w:r>
    </w:p>
    <w:p>
      <w:r>
        <w:rPr>
          <w:b/>
        </w:rPr>
        <w:t>E. 1.3.4</w:t>
      </w:r>
    </w:p>
    <w:p>
      <w:r>
        <w:t>Ein Rückweisungsentscheid schliesst das Verfahren nicht ab, weshalb es sich bei ihm grundsätzlich um einen Vor- oder Zwischenentscheid handelt ( BGE 145 II 168 E. 2; 144 III 253 E. 1.3; 144 IV 321 E. 2.3). Wenn die Rückweisung einzig noch der (rechnerischen) Umsetzung des oberinstanzlich Angeordneten dient und der Unterinstanz daher keinerlei Entscheidungsspielraum verbleibt, nimmt die öffentlich-rechtliche Praxis des Bundesgerichts einen anfechtbaren Endentscheid im Sinne von Art. 90 BGG an ( BGE 145 III 42 E. 2.1; 144 V 280 E. 1.2; Urteil 2C_1014/2021 vom 6. Januar 2022 E. 2.3.3).</w:t>
      </w:r>
    </w:p>
    <w:p>
      <w:r>
        <w:rPr>
          <w:b/>
        </w:rPr>
        <w:t>E. 2.1</w:t>
      </w:r>
    </w:p>
    <w:p>
      <w:r>
        <w:t>Streitig vor Bundesgericht ist damit einzig noch die Nachbelastung von Fr. 64'145.60 (Fr. 69'479.60 abzüglich den vernehmlassungsweise anerkannten Teilbetrags von Fr. 5'334.--), der sich aufgrund der nicht fakturierten Leistungen an den wirtschaftlich Berechtigten ergibt. Dieser besteht aus drei Teilaspekten (Sachverhalt, lit. F.c) : - Erstens ist die Vorinstanz, übereinstimmend mit der ESTV, zur Ansicht gelangt, dass die unentgeltlich erbrachten Leistungen an den wirtschaftlich Berechtigten und dessen Familie dahingehend zu würdigen seien, dass als Leistungserbringerin die Mietergesellschaft zu gelten habe. - Zweitens teilt die Vorinstanz die von der ESTV vorgenommene Bewertung der Beherbergungsleistung an den wirtschaftlich Berechtigten und dessen Familie insoweit, als es um die Winter- und Frühlingsferien geht. Mit der ESTV sei nunmehr von einem Steuerbetreffnis von Fr. 34'610.43 auszugehen und die Sache insofern zur neuen Veranlagung an die ESTV zurückzuweisen. - Und drittens hebt die Vorinstanz den angefochtenen Entscheid auch insofern auf, als die ESTV angenommen hatte, dass dem wirtschaftlich Berechtigten und dessen Familie im Verlauf der Sommer- und Herbstferien auch Personal zur Verfügung gestellt worden sei, was aber beweismässig nicht erstellt sei. Insoweit habe die ESTV die unentgeltlichen Leistungen neu zu bewerten. Die beschwerdeführende Mietergesellschaft bestreitet alle drei Teilaspekte. Die Vorinstanz hat, ausgehend vom ersten Punkt, im zweiten und dritten Punkt einen Rückweisungsentscheid erlassen.</w:t>
      </w:r>
    </w:p>
    <w:p>
      <w:r>
        <w:rPr>
          <w:b/>
        </w:rPr>
        <w:t>E. 2.2.1</w:t>
      </w:r>
    </w:p>
    <w:p>
      <w:r>
        <w:t>Die Vorinstanz hat kassatorisch entschieden und die Sache zur neuen Veranlagung (Winter- und Frühlingsferien) bzw. zur neuen Bewertung und Veranlagung (Sommer- und Herbstferien) an die ESTV zurückgewiesen. Der formellen Rückweisung liegt die materielle Einschätzung zugrunde, dass die unentgeltlichen Leistungen an den wirtschaftlich Berechtigten und an dessen Familie von der Mietergesellschaft ausgegangen seien. Diese Sichtweise floss unmittelbar in die Rückweisung ein, hätte es doch nicht zur Rückweisung, sondern zur Gutheissung der Beschwerde kommen müssen, wenn die Vorinstanz der Meinung gewesen wäre, die streitbetroffenen unentgeltlichen Leistungen seien von der Betreibergesellschaft ausgegangen.</w:t>
      </w:r>
    </w:p>
    <w:p>
      <w:r>
        <w:rPr>
          <w:b/>
        </w:rPr>
        <w:t>E. 2.2.2</w:t>
      </w:r>
    </w:p>
    <w:p>
      <w:r>
        <w:t>Die Mietergesellschaft bringt im bundesgerichtlichen Verfahren vor, dass die subjektive Zuordnung bundesrechtswidrig vorgenommen worden sei. Insofern lässt sie sinngemäss Art. 93 Abs. 1 lit. b BGG anklingen. Tatsächlich würde die Gutheissung der Beschwerde sofort einen Endentscheid herbeiführen. Darüber hinaus scheint, dass die Mietergesellschaft ganz grundsätzlich annimmt, dem Bundesgericht liege ein Endentscheid im Sinne von Art. 90 BGG vor, der selbständig angefochten werden könne. Sie geht jedenfalls ohne nähere Begründung von einem Endentscheid aus, ohne die Frage des Zwischenentscheids auch nur beiläufig zu erwähnen.</w:t>
      </w:r>
    </w:p>
    <w:p>
      <w:r>
        <w:rPr>
          <w:b/>
        </w:rPr>
        <w:t>E. 2.2.3</w:t>
      </w:r>
    </w:p>
    <w:p>
      <w:r>
        <w:t>Wie dargelegt, hat die Vorinstanz insgesamt einen Rückweisungsentscheid getroffen. Auch wenn die Vorinstanz beim Aspekt "Winter- und Frühlingsferien" klare Vorgaben gemacht hat (verminderte Nachbelastung von Fr. 34'610.43; Sachverhalt, lit. F.c), was für einen Endentscheid sprechen könnte (vorne E. 1.3.4), hier aber mit Blick auf die unzureichende Begründung der Beschwerde nicht zu prüfen ist, bleibt es dabei, dass die Mietergesellschaft zur selbständigen Anfechtbarkeit keinerlei Ausführungen macht. Hierzu wäre sie aber gehalten (Art. 93 Abs. 1 bzw. Art. 90 in Verbindung mit Art. 42 Abs. 2 BGG ; vorne E. 1.3.3). Insbesondere kann die Steuerpflichtige auch nicht mit Recht dartun, es lägen Teilentscheide vor. Von solchen ist abgaberechtlich im Allgemeinen nur zu sprechen, falls über mehrere Steuerperioden gesondert entschieden wird (Urteile 2C_708/2022 vom 26. September 2022 E. 2.4; 2C_676/2018 vom 22. August 2018 E. 3.2).</w:t>
      </w:r>
    </w:p>
    <w:p>
      <w:r>
        <w:rPr>
          <w:b/>
        </w:rPr>
        <w:t>E. 2.2.4</w:t>
      </w:r>
    </w:p>
    <w:p>
      <w:r>
        <w:t>Die Mietergesellschaft wird ihre materiellen Einwände, auf die im vorliegenden Verfahren nicht eingegangen werden kann, in einer allfälligen Beschwerde gegen den von der ESTV zu erlassenden Einspracheentscheid vorbringen können ( Art. 93 Abs. 3 BGG ). Insofern erwächst ihr durch den Entscheid im vorliegenden Verfahren kein Nachteil rechtlicher Art.</w:t>
      </w:r>
    </w:p>
    <w:p>
      <w:r>
        <w:rPr>
          <w:b/>
        </w:rPr>
        <w:t>E. 2.3</w:t>
      </w:r>
    </w:p>
    <w:p>
      <w:r>
        <w:t>Die ungenügend begründete Beschwerde hat zum Nichteintreten zu führen. Da die Sach- und Rechtslage nach vertiefter Auseinandersetzung rufen, wie die vorstehenden Ausführungen aufzeigen, kann nicht davon gesprochen werden, dass die Beschwerde " offensichtlich keine hinreichende Begründung" enthält. Dies hätte zum einzelrichterlichen Nichteintreten im vereinfachten Verfahren gemäss Art. 108 Abs. 1 lit. b BGG zu führen gehabt. Dieses vereinfachte Verfahren ist hier nicht angezeigt. Der Entscheid ist vielmehr in der ordentlichen Besetzung mit drei Mitgliedern zu treffen ( Art. 20 Abs. 1 BGG ).</w:t>
      </w:r>
    </w:p>
    <w:p>
      <w:r>
        <w:rPr>
          <w:b/>
        </w:rPr>
        <w:t>E. 3</w:t>
      </w:r>
    </w:p>
    <w:p>
      <w:r>
        <w:t>Nach dem Unterliegerprinzip sind die Kosten des bundesgerichtlichen Verfahrens der Mietergesellschaft aufzuerlegen ( Art. 65 und Art. 66 Abs. 1 Satz 1 BGG ). Der Eidgenossenschaft, die in ihrem amtlichen Wirkungskreis obsiegt,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