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2C_562/2012 vom 19. Juni 2012</w:t>
      </w:r>
    </w:p>
    <w:p>
      <w:r>
        <w:t>Bundesgericht, 2012-06-19, DE</w:t>
      </w:r>
    </w:p>
    <w:p>
      <w:r>
        <w:rPr>
          <w:b/>
        </w:rPr>
        <w:t xml:space="preserve">Quelle: </w:t>
      </w:r>
      <w:r>
        <w:t>https://mcp.opencaselaw.ch/entscheid/bger_2C_562_2012</w:t>
      </w:r>
    </w:p>
    <w:p>
      <w:r>
        <w:t>FR: TF 2C_562/2012 du 19 juin 2012</w:t>
      </w:r>
    </w:p>
    <w:p>
      <w:r>
        <w:t>IT: TF 2C_562/2012 del 19 giugno 2012</w:t>
      </w:r>
    </w:p>
    <w:p>
      <w:pPr>
        <w:pStyle w:val="Heading2"/>
      </w:pPr>
      <w:r>
        <w:t>Erwägungen</w:t>
      </w:r>
    </w:p>
    <w:p>
      <w:r>
        <w:rPr>
          <w:b/>
        </w:rPr>
        <w:t>E. 1.1</w:t>
      </w:r>
    </w:p>
    <w:p>
      <w:r>
        <w:t>X.________ (geb. 1981) stammt aus der Türkei und durchlief in der Schweiz erfolglos ein Asylverfahren. Am 2. August 2007 heiratete er eine ursprünglich aufenthalts- und ab dem 10. Oktober 2008 niederlassungsberechtigte Landsfrau, worauf das Amt für Migration Basel-Landschaft ihm eine Aufenthaltsbewilligung zum Verbleib bei seiner Gattin erteilte.</w:t>
      </w:r>
    </w:p>
    <w:p>
      <w:r>
        <w:rPr>
          <w:b/>
        </w:rPr>
        <w:t>E. 1.2</w:t>
      </w:r>
    </w:p>
    <w:p>
      <w:r>
        <w:t>Ab Mai 2009 mehrten sich die Hinweise, dass X.________ häusliche Gewalt ausüben und die Ehegemeinschaft ab August 2010 nicht mehr gelebt worden sein könnte. Am 28. Oktober 2010 verurteilte das Strafgericht Basel-Stadt X.________ wegen versuchter schwerer Körperverletzung, einfacher Körperverletzung sowie geringfügiger Sachbeschädigung zu einer bedingten Freiheitsstrafe von 16 Monaten, worauf das Amt für Migration es ablehnte, seine Aufenthaltsbewilligung zu verlängern. Die von X.________ hiergegen erhobenen kantonalen Rechtsmittel blieben ohne Erfolg.</w:t>
      </w:r>
    </w:p>
    <w:p>
      <w:r>
        <w:rPr>
          <w:b/>
        </w:rPr>
        <w:t>E. 1.3</w:t>
      </w:r>
    </w:p>
    <w:p>
      <w:r>
        <w:t>X.________ beantragt vor Bundesgericht, das Urteil des Kantonsgerichts Basel-Landschaft aufzuheben und seine Aufenthaltsbewilligung zu verlängern.</w:t>
      </w:r>
    </w:p>
    <w:p>
      <w:r>
        <w:rPr>
          <w:b/>
        </w:rPr>
        <w:t>E. 2</w:t>
      </w:r>
    </w:p>
    <w:p>
      <w:r>
        <w:t>Die Eingabe erweist sich als offensichtlich unbegründet, soweit der Beschwerdeführer sich darin überhaupt sachbezogen mit den Ausführungen der Vorinstanz auseinandersetzt und nicht lediglich ohne Bezugnahme auf den angefochtenen Entscheid seinen Standpunkt wiederholt bzw. in appellatorischer Weise die Feststellung des Sachverhalts und die Beweiswürdigung kritisiert (vgl. Art. 42 i.V.m. Art. 106 Abs. 2 BGG ; BGE 134 II 244 E. 2.1-2.3; 133 II 249 E. 1.4.3). Sie kann ohne Weiterungen im vereinfachten Verfahren nach Art. 109 Abs. 2 lit. b BGG erledigt werden:</w:t>
      </w:r>
    </w:p>
    <w:p>
      <w:r>
        <w:rPr>
          <w:b/>
        </w:rPr>
        <w:t>E. 2.1.1</w:t>
      </w:r>
    </w:p>
    <w:p>
      <w:r>
        <w:t>Ausländische Ehegatten von Niedergelassenen haben unter Vorbehalt von Art. 51 Abs. 2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w:t>
      </w:r>
    </w:p>
    <w:p>
      <w:r>
        <w:rPr>
          <w:b/>
        </w:rPr>
        <w:t>E. 2.1.2</w:t>
      </w:r>
    </w:p>
    <w:p>
      <w:r>
        <w:t>Der Beschwerdeführer und seine Gattin haben sich nach den Feststellungen der Vorinstanz anfangs August 2010 definitiv getrennt. Zwar behauptet der Beschwerdeführer, er sei im Januar 2011 wieder zu seiner Frau gezogen, die Wiederaufnahme der gemeinsamen Ehegemeinschaft ist indessen nicht erstellt: Bei der Befragung vor dem Kantonsgericht wusste die Ehefrau weder, wo der Beschwerdeführer arbeitete, noch wo er lebte; ihre wiederholten Anzeigen wegen häuslicher Gewalt sprechen ebenfalls dagegen, dass die Ehegemeinschaft anfangs 2011 wieder ernsthaft aufgenommen worden wäre. Letztlich kann die Frage aber offenbleiben; auf jeden Fall durfte die Vorinstanz davon ausgehen, dass der Beschwerdeführer nicht als integriert im Sinne von Art. 50 Abs. 1 lit. a AuG gelten kann: Er ist in der Schweiz straffällig geworden und hat einen Widerrufsgrund im Sinne von Art. 62 lit. b AuG gesetzt, indem er am 9. Oktober 2009 zwei Bekannte in brutaler Weise mit Schlägen traktiert hat und hierfür zu einer Gefängnisstrafe von 16 Monaten verurteilt worden ist (vgl. BGE 135 II 377 E. 4.2 S. 381; 137 II 297 E. 2 S. 299 ff.). Zwar wurde die Strafe bedingt ausgesprochen; das ändert indessen nichts daran, dass er wegen eines brutalen Delikts gegen Leib und Leben zur Rechenschaft gezogen werden musste, was die Annahme ausschliesst, er könne als integriert gelten, selbst wenn er einer Arbeit nachgehen, Deutsch sprechen und bis jetzt nicht rückfällig oder fürsorgeabhängig geworden sein sollte.</w:t>
      </w:r>
    </w:p>
    <w:p>
      <w:r>
        <w:rPr>
          <w:b/>
        </w:rPr>
        <w:t>E. 2.2.1</w:t>
      </w:r>
    </w:p>
    <w:p>
      <w:r>
        <w:t>Entgegen der Kritik des Beschwerdeführers hat die Vorinstanz auch das Vorliegen eines Härtefalls im Sinne von Art. 50 Abs. 1 lit. b AuG zu Recht verneint: Danach besteht der Bewilligungsanspruch nach einer gescheiterten Ehe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43 Abs. 1 AuG abgeleiteten Anwesenheitsberechtigung verbunden sein muss (vgl. BGE 137 II 345 E. 3.2.3 S. 350 und das Urteil 2C_781/2010 vom 16. Februar 2011 E. 2.2). Wurden - wie hier - keine engen Beziehungen zur Schweiz geknüpft und war der Aufenthalt im Land nur von kurzer Dauer, besteht praxisgemäss kein Anspruch auf einen weiteren Verbleib, selbst wenn die betroffene ausländische Person nicht straffällig geworden ist, gearbeitet hat und inzwischen auch etwas Deutsch spricht.</w:t>
      </w:r>
    </w:p>
    <w:p>
      <w:r>
        <w:rPr>
          <w:b/>
        </w:rPr>
        <w:t>E. 2.2.2</w:t>
      </w:r>
    </w:p>
    <w:p>
      <w:r>
        <w:t>Im vorliegenden Fall ist nicht ersichtlich, inwiefern die Rückkehr des Beschwerdeführers in die Türkei besondere Probleme stellen würde, die in einem hinreichend engen Zusammenhang zur anspruchsbegründenden Ehe und dem damit verbundenen bisherigen (bewilligten) Aufenthalt in der Schweiz stünden (vgl. BGE 137 II 345 E. 3.2.3 S. 350): Der Beschwerdeführer hält sich erst seit 2007 im Land auf; seine kinderlos gebliebene Ehe ist am 25. Mai 2012 geschieden worden. Der Beschwerdeführer ist im Alter von 25 Jahren in die Schweiz eingereist und wurde in seinem Heimatland sozialisiert; mit dessen Sprache und Kultur ist er nach wie vor bestens vertraut. Seine gesamte Familie hält sich in der Türkei auf; dass er hier - wie er geltend macht - wirtschaftlich besser gestellt wäre, bildet keinen wichtigen persönlichen Grund, der einen weiteren Aufenthalt in der Schweiz erforderlich machen würde; es ist ihm zuzumuten, in der Heimat sein Auskommen zu suchen. Soweit der Beschwerdeführer ohne weitere Begründung auf gewisse gesundheitliche Probleme hinweist, tut er nicht dar, weshalb diese nicht auch in der Türkei (weiter-) behandelt werden könnten. Auf seinen Einwand, zumindest habe seine Situation als Härtefall im Sinne von Art. 30 lit. b AuG zu gelten, ist nicht weiter einzugehen: Die Beschwerde in öffentlich-rechtlichen Angelegenheiten ist diesbezüglich ausgeschlossen (vgl. Art. 83 lit. b Ziff. 2 BGG ; BGE 137 II 345 E. 3.2.1 S. 348); verfahrensrechtliche Rügen, die mit der subsidiären Verfassungsbeschwerde geltend gemacht werden könnten, erhebt er weder in diesem Zusammenhang noch bezüglich des Wegweisungsentscheids ( BGE 137 II 305 E. 2 mit Hinweisen ; 133 I 185 E. 6.2 S. 199).</w:t>
      </w:r>
    </w:p>
    <w:p>
      <w:r>
        <w:rPr>
          <w:b/>
        </w:rPr>
        <w:t>E. 3.1</w:t>
      </w:r>
    </w:p>
    <w:p>
      <w:r>
        <w:t>Die Beschwerde ist somit abzuweisen, soweit darauf eingetreten werden kann. Für alles Weitere wird ergänzend auf die Ausführungen im angefochtenen Urteil verwiesen ( Art. 109 Abs. 3 BGG ).</w:t>
      </w:r>
    </w:p>
    <w:p>
      <w:r>
        <w:rPr>
          <w:b/>
        </w:rPr>
        <w:t>E. 3.2</w:t>
      </w:r>
    </w:p>
    <w:p>
      <w:r>
        <w:t>Da die vorliegende Eingabe von vornherein aussichtslos war, ist das Gesuch um unentgeltliche Rechtspflege und Verbeiständung abzuweisen (vgl. Art. 64 BGG ). Der unterliegende Beschwerdeführer hat die Kosten des bundesgerichtlichen Verfahrens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