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562/2009 vom 23. April 2010</w:t>
      </w:r>
    </w:p>
    <w:p>
      <w:r>
        <w:t>Bundesgericht, 2010-04-23, DE</w:t>
      </w:r>
    </w:p>
    <w:p>
      <w:r>
        <w:rPr>
          <w:b/>
        </w:rPr>
        <w:t xml:space="preserve">Quelle: </w:t>
      </w:r>
      <w:r>
        <w:t>https://mcp.opencaselaw.ch/entscheid/bger_2C_562_2009</w:t>
      </w:r>
    </w:p>
    <w:p>
      <w:r>
        <w:t>FR: TF 2C 562/2009 du 23 avril 2010</w:t>
      </w:r>
    </w:p>
    <w:p>
      <w:r>
        <w:t>IT: TF 2C 562/2009 del 23 aprile 2010</w:t>
      </w:r>
    </w:p>
    <w:p>
      <w:pPr>
        <w:pStyle w:val="Heading2"/>
      </w:pPr>
      <w:r>
        <w:t>Regeste</w:t>
      </w:r>
    </w:p>
    <w:p>
      <w:r>
        <w:t>Bäuerliches Bodenrecht | Wirtschaft</w:t>
      </w:r>
    </w:p>
    <w:p>
      <w:pPr>
        <w:pStyle w:val="Heading2"/>
      </w:pPr>
      <w:r>
        <w:t>Erwägungen</w:t>
      </w:r>
    </w:p>
    <w:p>
      <w:r>
        <w:rPr>
          <w:b/>
        </w:rPr>
        <w:t>E. 1.1</w:t>
      </w:r>
    </w:p>
    <w:p>
      <w:r>
        <w:t>Nach Art. 84 BGBB kann, wer ein schutzwürdiges Interesse hat, von der Bewilligungsbehörde (dazu Art. 80 BGBB )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Gemäss der bundesgerichtlichen Rechtsprechung können zudem auch die Begriffsbestimmungen von Art. 6-10 BGBB zum Gegenstand einer Feststellungsverfügung gemacht werden ( BGE 129 III 186 E. 2.1 S. 189 f., 693 E. 3 S. 695). Art. 88 BGBB verlangt, dass die Kantone mindestens eine kantonale Beschwerdebehörde vorsehen. Letztinstanzliche kantonale Beschwerdeentscheide unterliegen Art. 89 BGBB zufolge der Beschwerde in öffentlich-rechtlichen Angelegenheiten nach Art. 82 ff. BGG .</w:t>
      </w:r>
    </w:p>
    <w:p>
      <w:r>
        <w:rPr>
          <w:b/>
        </w:rPr>
        <w:t>E. 1.2</w:t>
      </w:r>
    </w:p>
    <w:p>
      <w:r>
        <w:t>Beim angefochtenen Entscheid handelt es sich um einen kantonalen letztinstanzlichen Endentscheid ( Art. 90 BGG ) aus dem oben angesprochenen Bereich. Die dagegen gerichtete Beschwerde ist innert der gesetzlichen Frist eingereicht worden ( Art. 100 Abs. 1 BGG ). Die Beschwerdeführer sind durch den ablehnenden letztinstanzlichen kantonalen Entscheid besonders berührt und haben ein schutzwürdiges Interesse an dessen Aufhebung oder Änderung. Auf die Beschwerde ist grundsätzlich einzutreten. Nicht einzutreten ist allerdings auf das Begehren, auch den Entscheid der kantonalen Dienststelle Landwirtschaft und Wald aufzuheben. Dieser ist durch den kantonalen letztinstanzlichen Entscheid ersetzt worden (Devolutiveffekt) und somit nicht mehr anfechtbar; er gilt indes als inhaltlich mitangefochten (vgl. BGE 134 II 142 E. 1.4 S. 144).</w:t>
      </w:r>
    </w:p>
    <w:p>
      <w:r>
        <w:rPr>
          <w:b/>
        </w:rPr>
        <w:t>E. 1.3</w:t>
      </w:r>
    </w:p>
    <w:p>
      <w:r>
        <w:t>Das Bundesgericht wendet das Recht von Amtes wegen an ( Art. 106 Abs. 1 BGG ). Nach Art. 42 Abs. 1 BGG hat freilich die Rechtsschrift die Begehren und deren Begründung zu enthalten; im Rahmen der Begründung ist in gedrängter Form darzulegen, inwiefern der angefochtene Entscheid das massgebliche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Das Bundesgericht sieht von diesen Voraussetzungen allerdings ab, wenn rechtliche Mängel geradezu offensichtlich sind ( BGE 133 II 249 E. 1.4.1 S. 254). Es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Die Beschwerdeführer beantragen in ihrem Hauptbegehren, festzustellen, dass die Begründung des Baurechtes der Bewilligungspflicht nach Art. 61 ff. BGBB nicht unterliegt. Dies kann in mehreren Fällen zutreffen: entweder liegt kein landwirtschaftliches Grundstück ( Art. 2 und 6 BGBB ) oder kein Erwerb nach Art. 61 Abs. 3 BGBB vor, oder die Ausnahmen nach Art. 62 BGBB sind einschlägig. Begründet wird lediglich, dass vorliegend kein landwirtschaftliches Grundstück vorhanden sei. Entsprechend Art. 42 Abs. 2 BGG ist nur darauf einzutreten.</w:t>
      </w:r>
    </w:p>
    <w:p>
      <w:r>
        <w:rPr>
          <w:b/>
        </w:rPr>
        <w:t>E. 2.2.1</w:t>
      </w:r>
    </w:p>
    <w:p>
      <w:r>
        <w:t>Das BGBB bezweckt u.a. die Schaffung bzw. Erhaltung leistungsfähiger, gut strukturierter Betriebe und Bewirtschaftungseinheiten (vgl. Art. 1 BGBB ). Aus diesem Grund wird der Verkehr mit landwirtschaftlichen Gewerben und Grundstücken einerseits privatrechtlich ( Art. 11 ff. BGBB ) und andererseits öffentlich rechtlich ( Art. 58 ff. BGBB ) beschränkt. Es geht grundsätzlich darum, ob die Person des Erwerbers oder die objektiven Umstände des Erwerbs mit den Zielsetzungen des bäuerlichen Bodenrechts in Einklang stehen (vgl. Beat Stalder, Bewilligungsverfahren sowie Realteilungs- und Zerstückelungsverbot im neuen bäuerlichen Bodenrecht, in: Schweiz. Anwaltsverband, Das landwirtschaftliche Bodenrecht, 1993 [nachfolgend Bewilligungsverfahren], S. 61 ff., 61). Zunächst stellt sich daher die Frage, welche Grundstücke unter das Regime des BGBB fallen. Das BGBB gilt nach dessen Art. 2 Abs. 1 für einzelne oder zu einem landwirtschaftlichem Gewerbe gehörende landwirtschaftliche Grundstücke, die ausserhalb einer Bauzone nach Art. 15 des Raumplanungsgesetzes vom 22. Juni 1979 (RPG; SR 700) liegen (lit. a) und für welche die landwirtschaftliche Nutzung zulässig ist (lit. b). Nach Art. 6 Abs. 1 BGBB gilt ein Grundstück als landwirtschaftlich, das für die landwirtschaftliche oder gartenbauliche Nutzung geeignet ist. Mit der Eignung wird an Art. 16 Abs. 1 RPG angeknüpft (vgl. ALEXANDER RUCH, in: Aemisegger/Kuttler/Moor/Ruch, Kommentar zum Bundesgesetz über die Raumplanung, Lieferung Juni 2009, N. 46 zu Vorbemerkungen zu Art. 16-16b RPG ). Massgebend ist dabei vor allem der formell rechtskräftige Zonenplan (vgl. Botschaft vom 19. Oktober 1988 zum Bundesgesetz über das bäuerliche Bodenrecht (BGBB) sowie zum Bundesgesetz über die Teilrevision des Zivilgesetzbuches (Immobiliarsachenrecht) und des Obligationenrechts (Grundstückkauf), BBl 1988 III 953, 974).</w:t>
      </w:r>
    </w:p>
    <w:p>
      <w:r>
        <w:rPr>
          <w:b/>
        </w:rPr>
        <w:t>E. 2.2.2</w:t>
      </w:r>
    </w:p>
    <w:p>
      <w:r>
        <w:t>Mit öffentlich beurkundetem Vertrag vom 27. Juli 2006 bestellten die Beschwerdeführer ein selbständiges und dauerndes Baurecht ( Art. 675 Abs. 1 und Art. 779 ff. ZGB ). Belastet wurden die beiden Grundstücke Nr. G.________ und H.________ des GB B.________. Wie sich aus den Akten ergibt, liegen beide Grundstücke ausserhalb der Bauzonen nach Art. 15 RPG und für beide ist eine landwirtschaftliche Nutzung zulässig und auch geeignet. Dies bejahen auch die Beschwerdeführer in ihrer Eingabe. Die beiden genannten Grundstücke unterliegen deshalb dem BGBB.</w:t>
      </w:r>
    </w:p>
    <w:p>
      <w:r>
        <w:rPr>
          <w:b/>
        </w:rPr>
        <w:t>E. 2.2.3</w:t>
      </w:r>
    </w:p>
    <w:p>
      <w:r>
        <w:t>Die Beschwerdeführer gehen allerdings davon aus, dass kein Anlass bestünde, das Bau- und Kiesabbaurecht namentlich in Bezug auf die Bewilligungspflicht ( Art. 61 BGBB ) und die Belastungsgrenze (Art. 73 ff.) dem bäuerlichen Bodenrecht zu unterstellen, sei doch die landwirtschaftliche Nutzung der Stammparzellen unter dem Vorbehalt öffentlich- bzw. raumplanungsrechtlicher Kiesabbaubewilligungen trotz oder gerade dank der Belastung mit einer zu einem eigenen Grundstück verselbständigten Bau- und Kiesabbaurechtsdienstbarkeit vollumfänglich gewährleistet. Sie stützen sich in ihrer Argumentation vor allem auf BGE 128 III 229 und auf ein Schreiben des Bundesamtes für Justiz, das nicht den vorliegenden Sachverhalt betrifft.</w:t>
      </w:r>
    </w:p>
    <w:p>
      <w:r>
        <w:rPr>
          <w:b/>
        </w:rPr>
        <w:t>E. 2.2.4.1</w:t>
      </w:r>
    </w:p>
    <w:p>
      <w:r>
        <w:t>Die Beschwerdeführer verkennen die rechtliche Sachlage. Vorliegend ist nicht die Frage zu beantworten, ob das Bau- und Kiesabbaurecht dem BGBB unterliegt, sondern ob die Grundstücke vor der Einräumung des selbständigen und dauernden Baurechts dem BGBB unterliegen. Denn der Verkehr (3. Titel; siehe insbesondere Art. 61 Abs. 3 BGBB ) mit jenen und nicht dessen Resultat (eingeräumtes Bau- und Kiesabbaurecht) muss den Vorgaben des BGBB genügen. Es geht mit anderen Worten einzig darum, ob die Entlassung der beiden landwirtschaftlichen Grundstücke aus ihrer bisherigen Nutzung den Vorschriften des BGBB genügt (dazu auch Stalder, Bewilligungsverfahren, a.a.O., S. 61). Aus diesem Grund sind die Argumente der Beschwerdeführer mit Hinweis auf BGE 128 III 229 unbehelflich, wenn sie darauf hinweisen, dass das Abbaurecht nicht landwirtschaftlich geeignet sei, weshalb es nicht dem BGBB unterliegen könne. Der Erwerb selbständiger und dauernder Rechte (vgl. dazu BEAT STALDER, in: Bandli und andere, Das bäuerliche Bodenrecht, Kommentar zum Bundesgesetz über das bäuerliche Bodenrecht vom 4. Oktober 1991, 1995, N. 17 zu Art. 61 BGBB ; vgl. auch den Hinweis bei YVES DONZALLAZ, Pratique et jurisprudence de droit foncier rural (1994-1998), 1999 [nachfolgend: Pratique], S. 159 Rz. 398) unterliegt u.a. nur dann nicht dem BGBB, wenn auch die belasteten Grundstücke nicht dem BGBB unterliegen. Dies ist dann der Fall, wenn es sich raumplanungsrechtlich nicht um ein landwirtschaftlich geeignetes Grundstück handelt ( Art. 2 Abs. 1, Art. 6 Abs. 1 BGBB in Verbindung mit Art. 16 Abs. 1 RPG ; siehe etwa YVES DONZALLAZ, Traité de droit agraire suisse: droit public et droit privé, Tome 2, 2004, S. 544 ff. in Verbindung mit 152 ff.; BEAT STALDER, Die verfassungs- und verwaltungsrechtliche Behandlung unerwünschter Handänderungen im bäuerlichen Bodenrecht, 1993, S. 154 FN 71). Dies traf im erwähnten BGE 128 III 229 zu: Dort ging es um die Frage, ob das mit Grundpfandrechten zu belastende selbständige und dauernde Kiesabbaurecht und nicht das Stammgrundstück dem BGBB zu unterstellen sei. Dabei trafen für das selbständige und dauernde Baurecht die Voraussetzungen von Art. 2 BGBB und insbesondere die Eignung nach Art. 6 BGBB nicht zu. Hier ist stattdessen die Frage zu beurteilen, ob die offensichtlich landwirtschaftlichen Grundstücke mit einem selbständigen und dauernden Baurecht aus Sicht des BGBB belastet werden dürfen.</w:t>
      </w:r>
    </w:p>
    <w:p>
      <w:r>
        <w:rPr>
          <w:b/>
        </w:rPr>
        <w:t>E. 2.2.4.2</w:t>
      </w:r>
    </w:p>
    <w:p>
      <w:r>
        <w:t>Die Beschwerdeführer scheinen zudem davon auszugehen, dass durch die Schaffung eines zeitlich limitierten Abbaurechts das Stammgrundstück gar nicht tangiert und somit in seiner landwirtschaftlichen Nutzung auch nicht eingeschränkt werde, lebe es doch nach Aufgabe des Abbaurechts wieder auf. Insofern erübrige sich daher auch hier die Frage der Anwendbarkeit des BGBB. Auch diese Argumente treffen nicht den Kern der Sache. Abgesehen davon, dass die Beschwerdeführer die Frage des Geltungsbereichs mit derjenigen der Rechtsfolgen vermischen, übersehen sie, dass als Erwerb eines landwirtschaftlichen Grundstücks nach Art. 61 Abs. 3 BGBB auch der Erwerb eines selbständigen und dauernden Rechts, insbesondere die Einräumung eines Baurechts im Sinne von Art. 779 ZGB , gilt (vgl. BEAT STALDER, a.a.O., N. 17 zu Art. 61 BGBB ; vgl. auch den Hinweis bei DONZALLAZ, Pratique, a.a.O.). Das BGBB macht somit keinen Unterschied, ob ein Nutzen für das Stammgrundstück eingeschränkt wird oder nicht und erklärt auch - wenn die Voraussetzungen von Art. 2 und 6 BGBB erfüllt sind - solche Grundstücke als in seinem Geltungsbereich liegend. Das BGBB unterstützt diese Argumentation zudem dadurch, dass ihm selbst Vorgänge unterstellt sind, die in Bezug auf die im Grundbuch eingetragenen Eigentumsverhältnisse keine Änderungen mit sich bringen, sondern nur wirtschaftlich einer Eigentumsübertragung gleichkommen (Art. 61 Abs. 3 in fine BGBB).</w:t>
      </w:r>
    </w:p>
    <w:p>
      <w:r>
        <w:rPr>
          <w:b/>
        </w:rPr>
        <w:t>E. 2.3.1</w:t>
      </w:r>
    </w:p>
    <w:p>
      <w:r>
        <w:t>Wer nach Art. 61 BGBB ein landwirtschaftliches Gewerbe oder Grundstück erwerben will, braucht dazu eine Bewilligung (Abs. 1). Die Bewilligung wird erteilt, wenn kein Verweigerungsgrund vorliegt (Abs. 2). Nach Art. 63 Abs. 1 BGBB wird die Bewilligung zum Erwerb eines landwirtschaftlichen Gewerbes oder Grundstücks verweigert, wenn der Erwerber nicht Selbstbewirtschafter ist (lit. a), ein übersetzter Preis vereinbart wurde (lit. b) und das zu erwerbende Grundstück ausserhalb des ortsüblichen Bewirtschaftungsbereichs des Gewerbes des Erwerbers liegt (lit. d). Sieben Ausnahmen vom Prinzip der Selbstbewirtschaftung, also von Art. 63 Abs. 1 lit. a BGBB , sind in Art. 64 Abs. 1 lit. a - lit. g BGBB geregelt.</w:t>
      </w:r>
    </w:p>
    <w:p>
      <w:r>
        <w:rPr>
          <w:b/>
        </w:rPr>
        <w:t>E. 2.3.2</w:t>
      </w:r>
    </w:p>
    <w:p>
      <w:r>
        <w:t>Auf den vorliegenden Fall könnte einzig die Bestimmung des Art. 64 Abs. 1 lit. c BGBB in Betracht gezogen werden; die anderen Bestimmungen passen nicht. Die Vorinstanz hat in umfassender Weise dargelegt, weshalb keine Ausnahme vom Prinzip der Selbstbewirtschaftung vorliegt. Die Beschwerdeführer gehen indessen auch in ihrer Beschwerde ohne Begründung davon aus, dass die Bewilligungsfähigkeit als Ausnahme vom Grundsatz der Selbstbewirtschaftung nach Art. 64 Abs. 1 BGBB als gegeben zu betrachten sei. Im Verfahren vor Bundesgericht wäre allerdings gerade der entscheidende Punkt gewesen, zu begründen und darzulegen, inwiefern im vorliegenden Fall nach Art. 64 Abs. 1 lit. c BGBB der Erwerb im Hinblick auf einen nach dem Raumplanungsrecht zulässigen Abbau von Bodenschätzen erfolgen würde und die Fläche für eine sinnvolle Rohstoffreserve oder für Realersatzland für eine Fläche im Abbaugebiet notwendig wäre. Die Beschwerdeführer haben eine diesbezügliche Begründung und Auseinandersetzung mit dem vorinstanzlichen Entscheid unterlassen. Es sind auch keine offensichtlichen rechtlichen Mängel im vorinstanzlichen Entscheid erkennbar, weshalb nicht weiter darauf einzutreten ist (oben E. 1.3).</w:t>
      </w:r>
    </w:p>
    <w:p>
      <w:r>
        <w:rPr>
          <w:b/>
        </w:rPr>
        <w:t>E. 3.1</w:t>
      </w:r>
    </w:p>
    <w:p>
      <w:r>
        <w:t>Die Beschwerde erweist sich als unbegründet und ist abzuweisen, soweit darauf eingetreten werden kann.</w:t>
      </w:r>
    </w:p>
    <w:p>
      <w:r>
        <w:rPr>
          <w:b/>
        </w:rPr>
        <w:t>E. 3.2</w:t>
      </w:r>
    </w:p>
    <w:p>
      <w:r>
        <w:t>Bei diesem Verfahrensausgang werden die unterliegenden Beschwerdeführer zu gleichen Teilen und unter solidarischer Haftung kostenpflichtig (Art. 66 Abs. 1 und 5 sowie Art. 65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