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2C_561/2019 vom 18. Juni 2019</w:t>
      </w:r>
    </w:p>
    <w:p>
      <w:r>
        <w:t>Bundesgericht, 2019-06-18, DE</w:t>
      </w:r>
    </w:p>
    <w:p>
      <w:r>
        <w:rPr>
          <w:b/>
        </w:rPr>
        <w:t xml:space="preserve">Quelle: </w:t>
      </w:r>
      <w:r>
        <w:t>https://mcp.opencaselaw.ch/entscheid/bger_2C_561_2019</w:t>
      </w:r>
    </w:p>
    <w:p>
      <w:r>
        <w:t>FR: TF 2C_561/2019 du 18 juin 2019</w:t>
      </w:r>
    </w:p>
    <w:p>
      <w:r>
        <w:t>IT: TF 2C_561/2019 del 18 giugno 2019</w:t>
      </w:r>
    </w:p>
    <w:p>
      <w:pPr>
        <w:pStyle w:val="Heading2"/>
      </w:pPr>
      <w:r>
        <w:t>Erwägungen</w:t>
      </w:r>
    </w:p>
    <w:p>
      <w:r>
        <w:rPr>
          <w:b/>
        </w:rPr>
        <w:t>E. 1</w:t>
      </w:r>
    </w:p>
    <w:p>
      <w:r>
        <w:t>Der am 11. März 1985 geborene algerische Staatsangehörige A.________ stellte am 4. August 2008 ein Asylgesuch; auf dieses wurde am 18. Dezember 2008 nicht eingetreten, verbunden mit der Wegweisung aus der Schweiz, welche nie vollzogen wurde. Mit Verfügung vom 5. April 2019 untersagte das Amt für Migration des Kantons Zug dem Betroffenen mit sofortiger Wirkung das Verlassen des Gemeindegebiets U.________, wo sich die ihm zugewiesene Nothilfeunterkunft befindet (Eingrenzung gemäss Art. 74 AIG ). Ausgenommen ist der aus dem Rayon herausführende Weg zur Stelle, die wöchentlich die Nothilfe auszahlt; sodann darf er bei Vorliegen guter Gründe (Arztbesuch, Behördengänge) das Gebiet, auf welches er eingegrenzt ist, mit behördlicher Genehmigung verlassen. Die gegen diese Verfügung erhobene Einsprache leitete das Amt für Migration zuständigkeitshalber zur Behandlung als Beschwerde an das Verwaltungsgericht des Kantons Zug weiter, welches die Beschwerde mit Urteil der AIG-Einzelrichterin vom 13. Mai 2019 abwies. A.________ hat gegen dieses Urteil am 13. Juni 2019 eine vom Bundesgericht als Beschwerde in öffentlich-rechtlichen Angelegenheiten entgegengenommene "Einsprache" erhoben.</w:t>
      </w:r>
    </w:p>
    <w:p>
      <w:r>
        <w:rPr>
          <w:b/>
        </w:rPr>
        <w:t>E. 2</w:t>
      </w:r>
    </w:p>
    <w:p>
      <w:r>
        <w:t>Gemäss Art. 42 Abs. 1 und 2 BGG haben Rechtsschriften die Begehren und deren Begründung zu enthalten. Die Begründung hat sachbezogen zu sein.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w:t>
      </w:r>
    </w:p>
    <w:p>
      <w:r>
        <w:t>Der Beschwerdeführer beschwert sich gegen die Anordnung der Eingrenzung. Er erklärt, nicht gegen Gesetze zu sein; aber wegen seiner Krankheit müsse er immer zum Psychologen oder ins Spital gehen; er müsse freigelassen werden, um seine Ärzte zu treffen. Das Verwaltungsgericht hat die Voraussetzungen für eine Eingrenzung und die betreffenden Modalitäten geschildert und anhand der konkreten Verhältnisse des Beschwerdeführers, namentlich unter Berücksichtigung seiner gesundheitlichen Situation, erkannt, dass die Eingrenzung rechtmässig sei. Die eben wiedergegebenen Vorbringen des Beschwerdeführers lassen jegliche Auseinandersetzung mit den vorinstanzlichen Erwägungen vermissen.</w:t>
      </w:r>
    </w:p>
    <w:p>
      <w:r>
        <w:t>Die Beschwerde enthält offensichtlich keine den gesetzlichen Anforderungen genügende Begründung ( Art. 108 Abs. 1 lit. b BGG ). Es ist darauf mit Entscheid des Abteilungspräsidenten als Einzelrichter im vereinfachten Verfahren nach Art. 108 BGG nicht einzutreten.</w:t>
      </w:r>
    </w:p>
    <w:p>
      <w:r>
        <w:t>Die Umstände rechtfertigen es,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