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560/2012 vom 21. Januar 2013</w:t>
      </w:r>
    </w:p>
    <w:p>
      <w:r>
        <w:t>Bundesgericht, 2013-01-21, FR</w:t>
      </w:r>
    </w:p>
    <w:p>
      <w:r>
        <w:rPr>
          <w:b/>
        </w:rPr>
        <w:t xml:space="preserve">Quelle: </w:t>
      </w:r>
      <w:r>
        <w:t>https://mcp.opencaselaw.ch/entscheid/bger_2C_560_2012</w:t>
      </w:r>
    </w:p>
    <w:p>
      <w:r>
        <w:t>FR: TF 2C 560/2012 du 21 janvier 2013</w:t>
      </w:r>
    </w:p>
    <w:p>
      <w:r>
        <w:t>IT: TF 2C 560/2012 del 21 gennaio 2013</w:t>
      </w:r>
    </w:p>
    <w:p>
      <w:pPr>
        <w:pStyle w:val="Heading2"/>
      </w:pPr>
      <w:r>
        <w:t>Regeste</w:t>
      </w:r>
    </w:p>
    <w:p>
      <w:r>
        <w:t>Impôt fédéral direct (soustraction), 2001/2002, 2003, 2004 | Finances publiques &amp; droit fiscal</w:t>
      </w:r>
    </w:p>
    <w:p>
      <w:pPr>
        <w:pStyle w:val="Heading2"/>
      </w:pPr>
      <w:r>
        <w:t>Erwägungen</w:t>
      </w:r>
    </w:p>
    <w:p>
      <w:r>
        <w:rPr>
          <w:b/>
        </w:rPr>
        <w:t>E. 1</w:t>
      </w:r>
    </w:p>
    <w:p>
      <w:r>
        <w:t>Le présent litige concerne des rappels d'impôt et le prononcé d'amendes fiscales portant sur les périodes 2001/2002, 2003 et 2004, tant en ce qui concerne l'impôt fédéral direct (IFD) que les impôts cantonal et communal (ICC). Le Tribunal cantonal a rendu une seule décision valant pour les deux catégories d'impôts ce qui est admissible (cf. ATF 135 II 260 consid. 1.3.1 p. 262). Dans ces circonstances, on ne peut reprocher au recourant d'avoir pris des conclusions valant pour les deux impôts dans son recours devant le Tribunal fédéral (cf. ATF 135 II 260 consid. 1.3.2 p. 263). Par souci d'unification par rapport à d'autres cantons dans lesquels deux décisions sont rendues, la Cour de céans a toutefois ouvert deux dossiers, l'un concernant l'ICC (2C_560/2012), l'autre l'IFD (2C_561/2012). Comme l'état de fait est identique et que les questions juridiques se recoupent, les deux causes seront néanmoins jointes et il sera statué dans un seul arrêt (cf. art. 71 LTF et 24 PCF [RS 273]).</w:t>
      </w:r>
    </w:p>
    <w:p>
      <w:r>
        <w:rPr>
          <w:b/>
        </w:rPr>
        <w:t>E. 2.1</w:t>
      </w:r>
    </w:p>
    <w:p>
      <w:r>
        <w:t>L'arrêt attaqué admet partiellement le recours, annule la décision du 28 janvier 2010 rendue par l'Administration cantonale et renvoie la cause à cette dernière pour nouvelle décision dans le sens des considérants, tant pour l'ICC que l'IFD. Il ne s'agit donc pas d'une décision qui met formellement fin à la procédure. Cependant, selon la jurisprudence, une décision de renvoi est considérée exceptionnellement comme finale au sens de l' art. 90 LTF lorsque l'instance inférieure à qui la cause est renvoyée n'a plus aucune marge de manoeuvre et que le renvoi ne sert qu'à transposer en chiffres la décision de l'autorité de recours ( ATF 134 II 124 consid. 1.3 p. 127; arrêts 2C_703/2012 du 19 juillet 2012 consid. 2.1.1; 2C_842/2011 du 21 octobre 2011 consid. 2.1). Tel est le cas en l'occurrence. L'arrêt attaqué examine poste par poste les reprises contestées et détermine précisément lesquelles doivent être prises en compte dans le revenu imposable des recourants pour les périodes fiscales 2001 à 2004. S'agissant des amendes, après en avoir confirmé le bien-fondé, le Tribunal cantonal a réduit les coefficients à 1 pour la soustraction consommée relative aux périodes fiscales 2001 à 2003 et à 2/3 pour la soustraction tentée pour la période fiscale 2004. L'Administration cantonale à qui la cause est renvoyée n'a donc plus qu'à calculer les montants d'impôts finalement dus par les recourants et les amendes en fonction des reprises admises et des coefficients nouvellement fixés dans l'arrêt attaqué. Ce dernier apparaît donc comme une décision finale au sens de l' art. 90 LTF .</w:t>
      </w:r>
    </w:p>
    <w:p>
      <w:r>
        <w:rPr>
          <w:b/>
        </w:rPr>
        <w:t>E. 2.2</w:t>
      </w:r>
    </w:p>
    <w:p>
      <w:r>
        <w:t>Il s'agit par ailleurs d'une décision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ouverte (cf. aussi art. 146 de la loi fédérale sur l'impôt fédéral direct [LIFD; RS 642.11] et 73 al. 1 de la loi fédérale sur l'harmonisation des impôts directs des canton et des communes [LHID; RS 642.14]. Le recours a en outre été déposé en temps utile ( art. 100 al. 1 LTF ) et dans les formes prévues par la loi ( art. 42 al . 2 LTF ) par le contribuable qui a qualité pour agir ( art. 89 al. 1 LTF ). Il convient donc d'entrer en matière.</w:t>
      </w:r>
    </w:p>
    <w:p>
      <w:r>
        <w:rPr>
          <w:b/>
        </w:rPr>
        <w:t>E. 3</w:t>
      </w:r>
    </w:p>
    <w:p>
      <w:r>
        <w:t>Devant le Tribunal cantonal, l'épouse du recourant était également désignée comme partie et l'arrêt attaqué mentionne le couple en qualité de recourants. Devant la Cour de céans, seul X.________ recourt. Il en découle que l'objet du litige porté devant le Tribunal fédéral ne peut concerner que la position juridique de celui-ci. Partant, les critiques du recourant portant sur la désignation de son épouse en qualité de partie devant l'instance inférieure et sur l'absence de responsabilité solidaire de cette dernière, compte tenu de la situation matrimoniale du couple, ne sont pas admissibles dans la présente procédure.</w:t>
      </w:r>
    </w:p>
    <w:p>
      <w:r>
        <w:rPr>
          <w:b/>
        </w:rPr>
        <w:t>E. 4</w:t>
      </w:r>
    </w:p>
    <w:p>
      <w:r>
        <w:t>Le recourant invoque une violation de son droit d'être entendu, plus particulièrement de son droit de répliquer. Il reproche en substance au Tribunal cantonal d'avoir statué sans lui laisser le temps de se prononcer sur la dernière écriture de l'Administration cantonale, munie d'annexes, qui était datée du 11 avril 2012, mais qu'il n'a reçue que le 3 mai 2012, alors que l'arrêt attaqué a été rendu le 9 mai suivant.</w:t>
      </w:r>
    </w:p>
    <w:p>
      <w:r>
        <w:rPr>
          <w:b/>
        </w:rPr>
        <w:t>E. 4.1</w:t>
      </w:r>
    </w:p>
    <w:p>
      <w:r>
        <w:t>Ce grief doit être examiné en premier lieu. En effet, compte tenu du caractère formel du droit d'être entendu, si la violation devait être avérée, elle entraînerait l'annulation de l'arrêt attaqué quelles que soient les chances de succès du recours sur le fond ( ATF 137 I 195 consid. 2.2 p. 197; 135 I 279 consid. 2.6.1 p. 285).</w:t>
      </w:r>
    </w:p>
    <w:p>
      <w:r>
        <w:rPr>
          <w:b/>
        </w:rPr>
        <w:t>E. 4.2</w:t>
      </w:r>
    </w:p>
    <w:p>
      <w:r>
        <w:t>Comme le recourant soulève un vice de procédure qu'il ne pouvait invoquer avant que ne soit rendue la décision attaquée, il peut alléguer et prouver des faits nouveaux en relation avec ce grief, en dérogation à la règle de l' art. 99 al. 1 LTF (BERNARD CORBOZ, Commentaire LTF, n. 23 ad art. 99). Partant, le Tribunal fédéral tiendra compte des éléments et pièces produites par le recourant à l'appui de la violation de son droit à la réplique. Du reste ces faits ne sont pas contestés par les autorités cantonales.</w:t>
      </w:r>
    </w:p>
    <w:p>
      <w:r>
        <w:rPr>
          <w:b/>
        </w:rPr>
        <w:t>E. 4.3</w:t>
      </w:r>
    </w:p>
    <w:p>
      <w:r>
        <w:t>Compris comme l'un des aspects de la notion générale de procès équitable au sens des art. 29 ss Cst. ,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137 I 195 consid. 1 p. 197 et les références). Dans les procédures judiciaires, ce droit existe que la cause soit ou non soumise à l'art. 6 § 1 CEDH , l' art. 29 Cst. devant, sous cet angle, être interprété de la même manière ( ATF 138 I 154 consid. 2.3.3 p. 157; 133 I 100 consid. 4.4 à 4.6 p. 103 ss et les arrêts cités). La dénomination " droit à la réplique " ou " droit de répliquer "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5A_535/2012 du 6 décembre 2012 consid. 2.3; 8C_104/2012 du 26 juin 2012 consid. 3.1). Il appartient au Tribunal de garantir dans tous les cas que le droit de répliquer puisse être effectivement exercé (arrêt 1C_142/2012 du 18 décembre 2012 consid. 2.4).</w:t>
      </w:r>
    </w:p>
    <w:p>
      <w:r>
        <w:rPr>
          <w:b/>
        </w:rPr>
        <w:t>E. 4.4</w:t>
      </w:r>
    </w:p>
    <w:p>
      <w:r>
        <w:t>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en dernier lieu arrêt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Cette pratique peut certes engendrer une certaine incertitude, dès lors que la partie ignore de combien de temps elle dispose pour formuler une éventuelle prise de position. La CourEDH a toutefois admis la conformité de ce procédé avec l'art. 6 § 1 CEDH , dès lors qu'il suffit à la partie de demander à l'autorité de pouvoir prendre position et de requérir la fixation d'un délai (arrêt Joos c/ Suisse, du 15 novembre 2012 [requête n° 43245/07], §§ 27 ss, en particulier §§ 30-32). Dans cette affaire,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Joos précité § 32). Dans une affaire similaire, un délai d'un mois, bien qu'incluant les fêtes de fin d'année, a été également considéré comme suffisant (arrêt 1C_142/2012 du 18 décembre 2012 consid. 2.5). Au contraire, dans l'arrêt publié aux ATF 137 I 195 ss, le Tribunal fédéral a estimé qu'un délai de dix jours ne suffisait pas à garantir l'exercice du droit de répliquer (arrêt précité, consid. 2.6 p. 199).</w:t>
      </w:r>
    </w:p>
    <w:p>
      <w:r>
        <w:rPr>
          <w:b/>
        </w:rPr>
        <w:t>E. 4.5</w:t>
      </w:r>
    </w:p>
    <w:p>
      <w:r>
        <w:t>En l'espèce, il ressort des allégués et pièces produites par le recourant, que l'écriture et les annexes remises par l'Administration au Tribunal cantonal le 11 avril 2012 ne lui ont, dans un premier temps, pas été transmises. Ce n'est qu'à la suite d'une demande de l'avocat, qui avait été informé du délai fixé à l'autorité administrative pour se déterminer, que celui-ci a reçu, le 3 mai 2012, copie de ces documents par le biais d'une simple lettre de transmission datée de la veille, qui ne fixait aucun délai pour fournir d'éventuelles observations. L'arrêt attaqué a, pour sa part, été rendu en date du 9 mai 2012. L'écriture de l'Administration du 11 avril 2012, accompagnée d'annexes, développait la question de l'obtention illicite de moyens de preuve et se prononçait sur les nouvelles pièces bancaires versées au dossier. Partant, il s'agissait bien d'une véritable détermination munie de pièces, à propos de laquelle le recourant devait pouvoir, s'il l'entendait, présenter une " réplique ". Ayant reçu cette écriture le jeudi 3 mai 2012, l'avocat avait besoin de quelques jours ouvrables pour prendre connaissance de cette détermination, la soumettre à son client, convenir avec celui-ci de l'opportunité de présenter des observations à son sujet et, le cas échéant, de produire celles-ci ou à tout le moins de demander au Tribunal cantonal de lui accorder un délai pour ce faire. En rendant l'arrêt le mercredi 9 mai suivant, soit moins d'une semaine ou quatre jours ouvrables après que l'avocat a reçu la détermination en cause, force est d'admettre que le Tribunal a tranché trop rapidement et empêché ainsi l'exercice du droit à la réplique. L' art. 29 Cst. a partant été violé.</w:t>
      </w:r>
    </w:p>
    <w:p>
      <w:r>
        <w:rPr>
          <w:b/>
        </w:rPr>
        <w:t>E. 4.6</w:t>
      </w:r>
    </w:p>
    <w:p>
      <w:r>
        <w:t>Ce vice ne pouvant pas être réparé devant le Tribunal fédéral (cf. ATF 137 I 195 consid. 2.7 p. 199; arrêt 5A_535/2012 du 6 décembre 2012 consid. 3), il entraîne l'admission du recours dans la mesure de sa recevabilité tant en ce qui concerne l'ICC (cause 2C_560/2012) que l'IFD (cause 2C_561/2012), sans qu'il y ait lieu d'examiner les autres griefs soulevés par le recourant (cf. supra consid. 4.1). L'arrêt attaqué doit en conséquence être annulé et la cause renvoyée au Tribunal cantonal pour nouvelle décision après avoir permis au recourant d'exercer son droit à la réplique.</w:t>
      </w:r>
    </w:p>
    <w:p>
      <w:r>
        <w:rPr>
          <w:b/>
        </w:rPr>
        <w:t>E. 5</w:t>
      </w:r>
    </w:p>
    <w:p>
      <w:r>
        <w:t>Au vu de l'issue du litige, les frais seront mis à la charge du canton de Vaud (cf. art. 66 al. 1 et 4 LTF ), qui supportera également les dépens dus au recourant ( art. 68 al. 1 LTF ). Les frais et dépens seront arrêtés en tenant compte du fait que le recours a été accueilli pour un motif formel (arrêts 5A_535/2012 du 6 décembre 2012 consid. 3; 1B_647/2011 du 21 mars 2012 consid. 3). Leur montant est toutefois suffisamment élevé pour admettre qu'il couvre la demande d'assistance judiciaire présentée par le recourant et que celle-ci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