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2C_55/2022 vom 27. Januar 2022</w:t>
      </w:r>
    </w:p>
    <w:p>
      <w:r>
        <w:t>Bundesgericht, 2022-01-27, DE</w:t>
      </w:r>
    </w:p>
    <w:p>
      <w:r>
        <w:rPr>
          <w:b/>
        </w:rPr>
        <w:t xml:space="preserve">Quelle: </w:t>
      </w:r>
      <w:r>
        <w:t>https://mcp.opencaselaw.ch/entscheid/bger_2C_55_2022</w:t>
      </w:r>
    </w:p>
    <w:p>
      <w:r>
        <w:t>FR: TF 2C_55/2022 du 27 janvier 2022</w:t>
      </w:r>
    </w:p>
    <w:p>
      <w:r>
        <w:t>IT: TF 2C_55/2022 del 27 gennaio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ist der Auffassung, vorliegend stellten sich vier Rechtsfragen von grundsätzlicher Bedeutung. Erstens basiere das Amtshilfeersuchen vom 17. Juli 2020 nicht auf Namen von identifizierten Personen, sondern auf Listen mit Nummern ohne Namen oder Namen, die keiner Person zugeordnet werden könnten. Der Beschaffung der Listen könne nur eine strafbare Bankgeheimnisverletzung zugrunde liegen. Sinngemäss stellt der Beschwerdeführer die Frage, ob das koreanische "Tax Whistleblower Reward Program" eine Anstiftung zur Bankgeheimnisverletzung darstelle und der Gewährung der Amtshilfe entgegenstünde. Zweitens sei erstmals zu beurteilen, ob ein Domizilcode als einziger Anhaltspunkt für eine Steuerpflicht in der Republik Korea genüge, um das Erfordernis der voraussichtlichen Erheblichkeit zu bejahen. Zu klären sei drittens die Frage, welchen Beweis die betroffene Person erbringen müsse und welches Beweismass gelte, um das völkerrechtliche Vertrauensprinzip umzustossen. Letztlich sei zu beantworten, inwiefern die ersuchte Behörde verpflichtet sei, weitere Abklärungen bei einem ersuchenden Staat zu treffen, der mit Whistleblower-Programmen agiere. Es fänden sich immer mehr Staaten, die auf Grundlage eigentlicher Vergütungsprogramme Personen dazu ermutigen würden, mutmasslich steuerrelevante Unterlagen zu liefern. Neben diesen vier Rechtsfragen, so der Beschwerdeführer weiter, würde die vorliegende Angelegenheit einen besonders bedeutenden Fall darstellen, da er über das Amtshilfeverfahren ohne Zustellversuch direkt durch die Publikation im Bundesblatt informiert worden sei. Dieses Vorgehen verletze elementare Verfahrensgrundsätze.</w:t>
      </w:r>
    </w:p>
    <w:p>
      <w:r>
        <w:rPr>
          <w:b/>
        </w:rPr>
        <w:t>E. 1.3</w:t>
      </w:r>
    </w:p>
    <w:p>
      <w:r>
        <w:t>Die aufgeworfenen Rechtsfragen von grundsätzlicher Bedeutung sind vor dem Hintergrund zu beurteilen, dass die ersuchende Behörde in der vorliegenden Angelegenheit Einzelersuchen ohne Namensangabe im Rahmen einer Listenanfrage bei der ESTV eingereicht hat. Solche Listenersuchen ("demande collective") hat das Bundesgericht bereits verschiedentlich beurteilt (zum Begriff der Listenersuchen vgl. BGE 146 II 150 E. 4.3 f.; 143 II 628 E. 5.1; zur Zulässigkeit von Listenersuchen vgl. BGE 146 II 150 E. 5.5.3 i.f.; zum Begriff der Grundsatzfrage vgl. auch E. 1.1.1 hiervor).</w:t>
      </w:r>
    </w:p>
    <w:p>
      <w:r>
        <w:rPr>
          <w:b/>
        </w:rPr>
        <w:t>E. 1.3.1</w:t>
      </w:r>
    </w:p>
    <w:p>
      <w:r>
        <w:t>Der Beschwerdeführer bringt zunächst vor, dem Listenersuchen könne nur eine strafbare Bankgeheimnisverletzung zugrunde liegen. Seiner Ansicht nach stellt das koreanische "Tax Whistleblower Reward Program" eine Anstiftung zur Bankgeheimnisverletzung dar und steht der Gewährung der Amtshilfe entgegen.</w:t>
      </w:r>
    </w:p>
    <w:p>
      <w:r>
        <w:t>Soweit der Beschwerdeführer dem Bundesgericht mit diesen Ausführungen überhaupt eine Rechtsfrage unterbreitet, besteht keine Veranlassung, die sinngemäss erkennbare Frage in der vorliegenden Angelegenheit zu klären. Die Vorinstanz stellte fest, entgegen der Auffassung des Beschwerdeführers sei nicht erstellt, dass die ersuchende Behörde die Informationen über das von ihm genannte "Tax Whistleblower Reward Program" erworben hätte (vgl. E. 3.2 des angefochtenen Urteils). Der Beschwerdeführer beanstandet diese vorinstanzliche Feststellung nicht rechtsgenüglich (vgl. Art. 97 Abs. 1 BGG i.V.m. Art. 106 Abs. 2 BGG ). Es ist folglich nicht ersichtlich, dass der Beschwerdeführer ein Interesse an der Klärung der sinngemäss gestellten Rechtsfrage hat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 Es erübrigt sich die weitere Prüfung der behaupteten Grundsatzfrage.</w:t>
      </w:r>
    </w:p>
    <w:p>
      <w:r>
        <w:rPr>
          <w:b/>
        </w:rPr>
        <w:t>E. 1.3.2</w:t>
      </w:r>
    </w:p>
    <w:p>
      <w:r>
        <w:t>Im Weiteren ist dem Beschwerdeführer nicht zu folgen, wenn er geltend macht, es sei erstmals zu beurteilen, ob ein Domizilcode als einziger Anhaltspunkt für eine Steuerpflicht in der Republik Korea genüge, um das Erfordernis der voraussichtlichen Erheblichkeit zu bejahen. Die Vorinstanz stellte fest, dass die ersuchende Behörde von den insgesamt 202 Konten zumindest einige wenige habe überprüfen können und der Domizilcode sich jeweils als korrekt erwiesen habe - mithin auf die Republik Korea hingewiesen habe (vgl. E. 3.1.1 S. 9 des angefochtenen Urteils). Das Bundesgericht liess im Zusammenhang mit Domizilcodes zu, dass aufgrund der Umstände - beispielsweise infolge der Erkenntnisse aus einer anderen Liste - von einem Domizilcode auf eine potenzielle Steuerpflicht im ersuchenden Staat geschlossen wurde (vgl. BGE 146 II 150 E. 6.2.5, wo aufgrund der Erkenntnisse einer Liste A [97 % in Frankreich steuerpflichtige Personen] die Listen B und C [Domizilcode deutete auf die Ansässigkeit in Frankreich hin] beurteilt wurden). Es ist hinreichend geklärt, unter welchen Umständen ein Domizilcode als Anhaltspunkt für eine Steuerpflicht in der Republik Korea genügt, um das Erfordernis der voraussichtlichen Erheblichkeit zu bejahen. Es liegt keine (ungeklärte) Rechtsfrage von grundsätzlicher Bedeutung vor.</w:t>
      </w:r>
    </w:p>
    <w:p>
      <w:r>
        <w:rPr>
          <w:b/>
        </w:rPr>
        <w:t>E. 1.3.3</w:t>
      </w:r>
    </w:p>
    <w:p>
      <w:r>
        <w:t>Ebenso verhält es sich mit der vom Beschwerdeführer aufgeworfenen Frage, welchen Beweis die betroffene Person erbringen müsse, wenn sie - vorliegend aufgrund des behaupteten "Tax Whistleblower Reward Program" (vgl. auch E. 1.3.1 hiervor) - Zweifel an der rechtmässigen Herkunft der Bankdaten habe. In diesem Zusammenhang sei zu klären, welches Beweismass gelte, um das völkerrechtliche Vertrauensprinzip umzustossen. 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 BGE 144 II 206 E. 4.4; 142 II 161 E. 2.1.3; 142 II 218 E. 3.3). Die Vermutung des guten Glaubens kann nur aufgrund konkreter, nachgewiesener Anhaltspunkte umgestossen werden ( BGE 146 II 150 E. 7.1; 144 II 206 E. 4.4). Im Lichte der publizierten Rechtsprechung erweist sich die vom Beschwerdeführer aufgeworfene Rechtsfrage als geklärt. Die Beurteilung, ob das vom Beschwerdeführer behauptete "Tax Whistleblower Reward Program" die Vermutung des guten Glaubens umzustossen vermag, lässt sich unter Anwendung der genannten Rechtsprechung vornehmen und stellt keine Grundsatzfrage im Sinne von Art. 84a BGG dar.</w:t>
      </w:r>
    </w:p>
    <w:p>
      <w:r>
        <w:rPr>
          <w:b/>
        </w:rPr>
        <w:t>E. 1.3.4</w:t>
      </w:r>
    </w:p>
    <w:p>
      <w:r>
        <w:t>Der Beschwerdeführer macht letztlich geltend, es fänden sich immer mehr Staaten, die auf Grundlage eigentlicher Vergütungsprogramme Personen dazu ermutigen würden, mutmasslich steuerrelevante Unterlagen zu liefern. Hierbei handelt es sich um eine allgemeine Einschätzung, ohne dass der Beschwerdeführer einen konkreten Bezug zur vorliegenden Angelegenheit schaffen oder eine Grundsatzfrage über eine Normverletzung hinreichend begründen würde. Ein Hinweis auf den Ordre public ist hierzu jedenfalls nicht ausreichend. Das Vorbringen des Beschwerdeführers, wonach der Hinweis, der zum vorliegenden Amtshilfeersuchen geführt hätte, aus einem "aggressiven Whistleblower-Programm" stamme, ist eine Behauptung, die nicht weiter belegt wird (vgl. auch E. 1.3.1 hiervor). Insofern ist nicht ersichtlich, weshalb der Beschwerdeführer ein Interesse an der Klärung der gestellten Rechtsfrage hat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 Es erübrigt sich die weitere Prüfung der behaupteten Grundsatzfrage.</w:t>
      </w:r>
    </w:p>
    <w:p>
      <w:r>
        <w:rPr>
          <w:b/>
        </w:rPr>
        <w:t>E. 1.4</w:t>
      </w:r>
    </w:p>
    <w:p>
      <w:r>
        <w:t>Nach Auffassung des Beschwerdeführers sind überdies elementare Verfahrensgrundsätze verletzt worden, weshalb ein besonders bedeutender Fall vorliege (vgl. auch E. 1.1.2 hiervor). Dieser Auffassung ist nicht zu folgen: Nach den vorinstanzlichen Feststellungen hat die ESTV die Informationsinhaberin aufgefordert, den Beschwerdeführer über das Amtshilfeverfahren zu informieren. Die Informationsinhaberin habe mit Schreiben vom 14. September 2020 geantwortet, dass es nicht gelungen sei, den Beschwerdeführer über das Verfahren in Kenntnis zu setzen (vgl. E. 3.3 des angefochtenen Urteils; vgl. auch Bst. A.b hiervor). Wie die Vorinstanz zutreffend anerkennt, muss die ESTV lediglich versuchen, die Informationsinhaberin dazu zu bewegen, mit der betroffenen Person Kontakt aufzunehmen, um einen zur Entgegennahme der Mitteilungen befugten Vertreter zu benennen. Die ESTV kann jedoch die Informationsinhaberin nicht dazu zwingen, dies zu tun (vgl. BGE 145 II 119 E. 6.2).</w:t>
      </w:r>
    </w:p>
    <w:p>
      <w:r>
        <w:t>Ausserdem sehen Art. 14 Abs. 4 und Abs. 5 des Bundesgesetzes über die internationale Amtshilfe in Steuersachen (Steueramtshilfegesetz, StAhiG; SR 651.1) zur Gewährung des rechtlichen Gehörs von Personen, die von einem Amtshilfeersuchen betroffen oder beschwerdeberechtigt sind und ihren Wohnsitz im Ausland haben, verschiedene Arten der Information vor (vgl. BGE 145 II 119 E. 7.2) : Einerseits ist eine direkte Information durch die ESTV unter bestimmten Voraussetzungen möglich (vgl. Art. 14 Abs. 4 StAhiG ), anderseits ist die Information durch die ersuchende Behörde oder durch Veröffentlichung im Bundesblatt erlaubt (vgl. Art. 14 Abs. 5 StAhiG ). Im Lichte der vorinstanzlichen Feststellungen sowie gestützt auf die genannten gesetzlichen Grundlagen ist nicht ersichtlich, dass die ESTV elementare Verfahrensgrundsätze verletzt hätte. Es liegt folglich auch kein besonders bedeutender Fall im Sinne von Art. 84 Abs. 2 BGG in Verbindung mit Art. 84a BGG vor.</w:t>
      </w:r>
    </w:p>
    <w:p>
      <w:r>
        <w:rPr>
          <w:b/>
        </w:rPr>
        <w:t>E. 2</w:t>
      </w:r>
    </w:p>
    <w:p>
      <w:r>
        <w:t>In prozessualer Hinsicht beantragt der Beschwerdeführer, es sei sein Name vollumfänglich zu anonymisieren, insbesondere in jeglichen Veröffentlichungen des Urteils. 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ausreichend Nachachtung verschafft. Weitere Ausführungen erübrigen sich.</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