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2C_559/2019 vom 22. August 2019</w:t>
      </w:r>
    </w:p>
    <w:p>
      <w:r>
        <w:t>Bundesgericht, 2019-08-22, DE</w:t>
      </w:r>
    </w:p>
    <w:p>
      <w:r>
        <w:rPr>
          <w:b/>
        </w:rPr>
        <w:t xml:space="preserve">Quelle: </w:t>
      </w:r>
      <w:r>
        <w:t>https://mcp.opencaselaw.ch/entscheid/bger_2C_559_2019</w:t>
      </w:r>
    </w:p>
    <w:p>
      <w:r>
        <w:t>FR: TF 2C_559/2019 du 22 août 2019</w:t>
      </w:r>
    </w:p>
    <w:p>
      <w:r>
        <w:t>IT: TF 2C_559/2019 del 22 agosto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143 IV 500 E. 1.1 S. 503).</w:t>
      </w:r>
    </w:p>
    <w:p>
      <w:r>
        <w:rPr>
          <w:b/>
        </w:rPr>
        <w:t>E. 2</w:t>
      </w:r>
    </w:p>
    <w:p>
      <w:r>
        <w:t>Streitig ist die Höhe des steuerbaren Einkommens für die direkte Bundessteuer im Steuerjahr 2009. Zu prüfen ist dabei insbesondere, ob die Vorinstanz zu Recht einen Gewinn aus den Liegenschaftsverkäufen von Fr. 1'032'897.- zu den Einkünften aus selbstständiger Erwerbstätigkeit hinzugerechnet hat.</w:t>
      </w:r>
    </w:p>
    <w:p>
      <w:r>
        <w:rPr>
          <w:b/>
        </w:rPr>
        <w:t>E. 3.1</w:t>
      </w:r>
    </w:p>
    <w:p>
      <w:r>
        <w:t>Zur Frage der grundsätzlichen Steuerbarkeit des erzielten Gewinnes aus den Liegenschaftsverkäufen hat das kantonale Gericht im Wesentlichen erwogen, das Bundesgericht habe in dem dieselbe Verkäufe betreffenden Urteil 2C_940/2017 vom 28. März 2018 bezüglich der Staats- und Gemeindesteuern bestätigt, dass es sich bei den verkauften Grundstücke steuerrechtlich gesehen nicht um landwirtschaftliche Grundstücke handelt. Die Beschwerdeführer brächten nichts vor, was zu einer davon abweichenden Betrachtungsweise bezüglich der direkten Bundessteuern Anlass geben würde. Was die Steuerpflichtigen gegen diese Erwägungen vorbringen, vermag sie nicht als bundesrechtswidrig erscheinen zu lassen. Wie das Bundesgericht im erwähnten Urteil 2C_940/2017 erwogen hat, ist zur Frage der steuerrechtlichen Qualifikation eines Grundstückes als Landwirtschaftsland nicht in erster Linie die tatsächliche Nutzung massgebend, sondern - gewisse hier nicht zur Diskussion stehende Spezialfälle vorbehalten (vgl. erwähntes Urteil 2C_940/2017 E. 3.2.3) - die Unterstellung unter den Schutz des BGBB. Massgebender Zeitpunkt ist sodann jener der Gewinnerzielung - hier also jener der Grundstückverkäufe (2009) und nicht jener der Hofübernahme (2004). Somit kann offen bleiben, ob das betreffende Land im Jahre 2004 noch unter den Schutzbereich des BGBB fiel.</w:t>
      </w:r>
    </w:p>
    <w:p>
      <w:r>
        <w:rPr>
          <w:b/>
        </w:rPr>
        <w:t>E. 3.2</w:t>
      </w:r>
    </w:p>
    <w:p>
      <w:r>
        <w:t>Weiter machen die Beschwerdeführer geltend, die bei der Hofübernahme vertraglich festgelegten Gewinnanteilsrechte seiner Mutter und seiner Geschwister müssten vom zu versteuernden Veräusserungsgewinn abgezogen werden. Wie die Vorinstanz jedoch zutreffend erwogen hat, ist ein solcher Abzug rechtsprechungsgemäss nicht vorgesehen (Urteil 2C_162/2016 / 2C_163/2016 vom 29. September 2016, in: ASA 85 S. 323, RDAF 2017 II 261, StE 2016 B 23.45.2 Nr. 11).</w:t>
      </w:r>
    </w:p>
    <w:p>
      <w:r>
        <w:rPr>
          <w:b/>
        </w:rPr>
        <w:t>E. 3.3</w:t>
      </w:r>
    </w:p>
    <w:p>
      <w:r>
        <w:t>Sowohl die Hofübernahme (2004), als auch die Grundstückverkäufe (2009) und das Einreichen der Steuererklärung (2010) erfolgten zu einem Zeitpunkt, als die bundesgerichtliche Klärung der bis dahin uneinheitlich gehandhabten Rechtsfrage, was unter den "land- und forstwirtschaftlichen Grundstücken" zu verstehen sei (Urteil 2C_11/2011 vom 2. Dezember 2011, publ. in: BGE 138 II 32 ), noch nicht bekannt war. Wie das Bundesgericht jedoch im erwähnten Urteil 2C_940/2017 E. 3.3.6 erwogen hat, gilt diese Praxisfestlegung nicht nur für die künftigen, sondern auch für alle noch nicht rechtskräftig abgeschlossenen Veranlagungsverfahren. Demnach war die Veranlagung auch im vorliegenden Fall im Sinne der Praxisfestlegung vorzunehmen. Entgegen den Vorbringen der Beschwerdeführer bestehen keine Hinweise darauf, dass die Steuerbehörden die Veranlagung treuwidrig verzögert hätten; insbesondere erscheint es nachvollziehbar, dass diese vor Veranlagung der direkten Bundessteuern die Rechtskraft der Veranlagung der Staats- und Gemeindesteuern abwarteten. Soweit sich die Steuerpflichtigen weiter darauf berufen, sie hätten sich nach Treu und Glauben auf die Weitergeltung der im Jahre 2004 von den kantonalen Behörden geübten Praxis vertrauen dürfen, legen sie nicht dar, dass sie von den zuständigen Behörden bezüglich der konkreten Angelegenheit eine vorbehaltslose Auskunft oder gar Zusicherung erhalten hätten, wie der Grundstückverkauf steuerrechtlich behandelt werden würde (vgl. zu den Voraussetzungen, unter denen eine unrichtige Auskunft einer Behörde Rechtswirkung entfalten kann BGE 137 II 182 E. 3.6.2 S. 193 mit Hinweisen). Die Beschwerde der Steuerpflichtigen ist somit abzuweisen.</w:t>
      </w:r>
    </w:p>
    <w:p>
      <w:r>
        <w:rPr>
          <w:b/>
        </w:rPr>
        <w:t>E. 4</w:t>
      </w:r>
    </w:p>
    <w:p>
      <w:r>
        <w:t>Da die Beschwerde offensichtlich unbegründet ist, wird sie im Verfahren nach Art. 109 Abs. 2 lit. a BGG erledigt. Den Beschwerdeführern sind demnach die Gerichtskosten aufzuerlegen ( Art. 66 Abs. 1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