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2C_557/2014 vom 9. Januar 2015</w:t>
      </w:r>
    </w:p>
    <w:p>
      <w:r>
        <w:t>Bundesgericht, 2015-01-09, IT</w:t>
      </w:r>
    </w:p>
    <w:p>
      <w:r>
        <w:rPr>
          <w:b/>
        </w:rPr>
        <w:t xml:space="preserve">Quelle: </w:t>
      </w:r>
      <w:r>
        <w:t>https://mcp.opencaselaw.ch/entscheid/bger_2C_557_2014</w:t>
      </w:r>
    </w:p>
    <w:p>
      <w:r>
        <w:t>FR: TF 2C_557/2014 du 9 janvier 2015</w:t>
      </w:r>
    </w:p>
    <w:p>
      <w:r>
        <w:t>IT: TF 2C_557/2014 del 9 gennaio 2015</w:t>
      </w:r>
    </w:p>
    <w:p>
      <w:pPr>
        <w:pStyle w:val="Heading2"/>
      </w:pPr>
      <w:r>
        <w:t>Erwägungen</w:t>
      </w:r>
    </w:p>
    <w:p>
      <w:r>
        <w:rPr>
          <w:b/>
        </w:rPr>
        <w:t>E. 1.1</w:t>
      </w:r>
    </w:p>
    <w:p>
      <w:r>
        <w:t>Il Tribunale federale esamina d'ufficio e con piena cognizione la sua competenza ( art. 29 cpv. 1 LTF ) e l'ammissibilità dei gravami che gli vengono sottoposti ( DTF 136 I 42 consid. 1 pag. 43).</w:t>
      </w:r>
    </w:p>
    <w:p>
      <w:r>
        <w:rPr>
          <w:b/>
        </w:rPr>
        <w:t>E. 1.2</w:t>
      </w:r>
    </w:p>
    <w:p>
      <w:r>
        <w:t>La richiesta di congiungere le tre cause (2C_555/2014 a 2C_557/2014), formulata il 3 luglio 2014 dalla ricorrente, dev'essere respinta. Sebbene le questioni giuridiche che si pongono sono praticamente uguali, le controparti (persone private o ente pubblico) coinvolte sono differenti così come le fattispecie oggetto di disamina.</w:t>
      </w:r>
    </w:p>
    <w:p>
      <w:r>
        <w:rPr>
          <w:b/>
        </w:rPr>
        <w:t>E. 1.3</w:t>
      </w:r>
    </w:p>
    <w:p>
      <w:r>
        <w:t>Diretto contro una decisione finale ( art. 90 LTF ) resa dall'ultima istanza cantonale con natura di tribunale superiore (art. 86 cpv. 1 lett. d e cpv. 2 LTF), il ricorso concerne una misura disciplinare pronunciata nei confronti di un'avvocata, cioè una causa di diritto pubblico ( art. 82 lett. a LTF , vedasi anche sentenza 2C_150/2008 del 10 luglio 2008 consid. 2.2 e rinvii) che non ricade sotto alcuna delle eccezioni previste dall' art. 83 LTF . Esso è stato presentato in tempo utile ( art. 100 cpv. 1 LTF ) dalla destinataria della decisione contestata, la quale ha senz'altro un interesse degno di protezione al suo annullamento ( art. 89 cpv. 1 LTF ). L'impugnativa è pertanto di massima ammissibile quale ricorso in materia di diritto pubblico.</w:t>
      </w:r>
    </w:p>
    <w:p>
      <w:r>
        <w:rPr>
          <w:b/>
        </w:rPr>
        <w:t>E. 2.1</w:t>
      </w:r>
    </w:p>
    <w:p>
      <w:r>
        <w:t>Conformemente all' art. 42 LTF il ricorso deve contenere le conclusioni, i motivi e l'indicazione dei mezzi di prova (cpv. 1) e dev'essere motivato in modo sufficiente, spiegando nei motivi perché l'atto impugnato viola il diritto (cpv. 2; DTF 134 II 244 consid. 2.1 pag. 245; 133 II 249 consid. 1.4.1 pag. 254). Nell'allegato ricorsuale occorre quindi indicare in modo succinto perché l'atto impugnato viola il diritto applicabile; la motivazione deve essere riferita all'oggetto del litigio, in modo che si capisca perché e su quali punti la decisione contestata è impugnata. Ciò significa che la parte ricorrente non può limitarsi a riproporre genericamente argomenti giuridici già esposti dinanzi alle autorità cantonali, bensì deve confrontarsi almeno brevemente con i considerandi della decisione dell'autorità inferiore che reputa lesivi del diritto (cfr. DTF 134 II 244 consid. 2.1-2.3 pag. 245 segg.).</w:t>
      </w:r>
    </w:p>
    <w:p>
      <w:r>
        <w:rPr>
          <w:b/>
        </w:rPr>
        <w:t>E. 2.2</w:t>
      </w:r>
    </w:p>
    <w:p>
      <w:r>
        <w:t>Nel caso concreto il ricorso non adempie manifestamente queste esigenze di motivazione. Per quanto concerne la questione dell'applicabilità della legge sugli avvocati in concreto e della violazione dell' art. 12 lett. a LLCA , la ricorrente si limita a riproporre in larga misura (pag. 5, pag. 6 n. 10, pag. 7 n. 10 e 11, pag. 8 C3 a pag. 10 in fine, pag. 11 secondo paragrafo della propria impugnativa) l'identica motivazione del gravame presentato nella sede cantonale, motivo per cui al riguardo l'atto di ricorso si rivela irricevibile ( DTF 134 II 244 consid. 2.1-2.3 pag. 245 segg.). Ella inoltre non si confronta, se non in maniera del tutto generica ( art. 42 cpv. 2 LTF ), con la dettagliata argomentazione sviluppata dalla Corte cantonale sui citati temi, qui interamente condivisa e alla quale si rinvia (cfr. sentenza cantonale pag. 3 segg. consid. 2 nonché pag. 5 segg. consid. 4-5). Per il resto l'interessata critica la decisione di prima istanza, ciò che è inammissibile, visto l'effetto devolutivo totale della procedura ricorsuale cantonale ( DTF 136 II 101 consid. 1.2 pag. 104), rispettivamente formula critiche pungenti nei confronti di un membro dell'autorità di prime cure, ciò che esula dall'attuale vertenza. Anche su questi aspetti il gravame sfugge ad un esame di merito.</w:t>
      </w:r>
    </w:p>
    <w:p>
      <w:r>
        <w:rPr>
          <w:b/>
        </w:rPr>
        <w:t>E. 2.3</w:t>
      </w:r>
    </w:p>
    <w:p>
      <w:r>
        <w:t>La ricorrente si duole in seguito della violazione dell' art. 29 Cost. , segnatamente adduce la violazione del suo diritto di essere sentita nonché una carente motivazione del giudizio contestato. Sennonché la censura non adempie manifestamente le esigenze di motivazione poste dagli art. 42 cpv. 2 e 106 cpv. 2 LTF e deve pertanto essere dichiarata irricevibile.</w:t>
      </w:r>
    </w:p>
    <w:p>
      <w:r>
        <w:rPr>
          <w:b/>
        </w:rPr>
        <w:t>E. 3.1</w:t>
      </w:r>
    </w:p>
    <w:p>
      <w:r>
        <w:t>Per i motivi illustrati il ricorso dev'essere dichiarato inammissibile e può essere deciso sulla base della procedura semplificata dell' art. 108 cpv. 1 lett. b LTF .</w:t>
      </w:r>
    </w:p>
    <w:p>
      <w:r>
        <w:rPr>
          <w:b/>
        </w:rPr>
        <w:t>E. 3.2</w:t>
      </w:r>
    </w:p>
    <w:p>
      <w:r>
        <w:t>Le spese seguono la soccombenza e vanno poste a carico della ricorrente ( art. 66 cpv. 1 LTF ). Non si accordano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