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2C_557/2007 vom 21. Dezember 2007</w:t>
      </w:r>
    </w:p>
    <w:p>
      <w:r>
        <w:t>Bundesgericht, 2007-12-21, DE</w:t>
      </w:r>
    </w:p>
    <w:p>
      <w:r>
        <w:rPr>
          <w:b/>
        </w:rPr>
        <w:t xml:space="preserve">Quelle: </w:t>
      </w:r>
      <w:r>
        <w:t>https://mcp.opencaselaw.ch/entscheid/bger_2C_557_2007</w:t>
      </w:r>
    </w:p>
    <w:p>
      <w:r>
        <w:t>FR: TF 2C_557/2007 du 21 décembre 2007</w:t>
      </w:r>
    </w:p>
    <w:p>
      <w:r>
        <w:t>IT: TF 2C_557/2007 del 21 dicembre 2007</w:t>
      </w:r>
    </w:p>
    <w:p>
      <w:pPr>
        <w:pStyle w:val="Heading2"/>
      </w:pPr>
      <w:r>
        <w:t>Erwägungen</w:t>
      </w:r>
    </w:p>
    <w:p>
      <w:r>
        <w:rPr>
          <w:b/>
        </w:rPr>
        <w:t>E. 1.1</w:t>
      </w:r>
    </w:p>
    <w:p>
      <w:r>
        <w:t>Die Beschwerde in öffentlich-rechtlichen Angelegenheiten ist gemäss Art. 82 ff. des Bundesgesetzes vom 17. Juni 2005 über das Bundesgericht (BGG, SR 173.110)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Nr. 57 bzw. 58 des Bundesgesetzes vom 17. Juni 2005 über das Bundesverwaltungsgericht (VGG, SR 173.32), zulässig. Die Beschwerdeführerin ist gestützt auf Art. 89 Abs. 1 BGG zur Beschwerde in öffentlich-rechtlichen Angelegenheiten legitimiert. Auf die frist- und formgerecht eingereichte Beschwerde ist einzutreten ( Art. 100 und Art. 42 BGG ).</w:t>
      </w:r>
    </w:p>
    <w:p>
      <w:r>
        <w:rPr>
          <w:b/>
        </w:rPr>
        <w:t>E. 1.2</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t>II. Direkte Bundessteuer</w:t>
      </w:r>
    </w:p>
    <w:p>
      <w:r>
        <w:rPr>
          <w:b/>
        </w:rPr>
        <w:t>E. 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Ein Verschulden des Steuerpflichtigen ist nicht erforderlich, vielmehr kommt es auf die Würdigung der jeweiligen Pflichten des Steuerpflichtigen und der Steuerbehörde bei der Veranlagung an.</w:t>
      </w:r>
    </w:p>
    <w:p>
      <w:r>
        <w:t>Nach Artikel 123 Absatz 1 DBG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(vgl. zum Ganzen u.a. StR 61/2006 E. 2, ASA 73 482 E. 3.3).</w:t>
      </w:r>
    </w:p>
    <w:p>
      <w:r>
        <w:rPr>
          <w:b/>
        </w:rPr>
        <w:t>E. 3.1</w:t>
      </w:r>
    </w:p>
    <w:p>
      <w:r>
        <w:t>Die Beschwerdeführerin hat in ihren Steuererklärungen 2001, 2002 und 2003 das hier interessierende Darlehensguthaben jeweils im Wertschriftenverzeichnis deklariert und den im laufenden Jahr fällig gewordenen Zins zum Kapital geschlagen. Auf diese Weise betrug das "Darlehen Y._______" Ende 2001 Fr. 769'403.--, Ende 2002 Fr. 797'403.-- und Ende 2003 Fr. 821'465.--. Die Kolonnen "Bruttoertrag" der drei Steuerjahre enthielten durchwegs keinen Eintrag.</w:t>
      </w:r>
    </w:p>
    <w:p>
      <w:r>
        <w:t>Diese Angaben im Wertschriftenverzeichnis waren offensichtlich fehlerhaft. Ein Zins kann nicht zum Kapital geschlagen werden, ohne dass er vorher einkommenssteuerrechtlich erfasst wurde (vgl. Ernst Känzig, Wehrsteuer [Direkte Bundessteuer], 2. Aufl. I. Teil, Basel 1982, N 104 zu Art. 21 Abs. 1 lit. c BdBst ; Louis Bochud, Darlehen an Aktionäre aus wirtschaftlicher, zivil- und steuerrechtlicher Sicht, Diss. BE 1991, S. 318 f.).</w:t>
      </w:r>
    </w:p>
    <w:p>
      <w:r>
        <w:t>Angesichts der in die Augen springenden Falschdeklaration seitens der über siebzigjährigen Beschwerdeführerin hätte die Steuerbehörde bei gehöriger Sorgfalt schon im ordentlichen Veranlagungsverfahren einschreiten und die nicht deklarierten Zinserträge aufrechnen müssen. Darlehen werden in der Regel nicht zinsfrei gewährt, und die Erhöhung um nicht nachvollziehbare Beträge von Jahr zu Jahr hätte die Steuerbehörde zu Rückfragen veranlassen müssen. Damit wäre der wahre Sachverhalt ohne weiteres erhellt worden, wie es ja schliesslich bezüglich des Steuerjahres 2004 geschehen ist. Sah die Steuerverwaltung im Veranlagungsverfahren pflichtwidrig von der erforderlichen Berichtigung ab, so kann sie diese mangels "neuer Tatsachen" nicht im Nachsteuerverfahren nachholen (vgl. StE 2007 B 97.41 Nr. 19 E. 3.2, siehe auch Hugo Casanova, Die Nachsteuer, ASA 68 S. 5). Die Voraussetzungen für die Erhebung von Nachsteuern 2001, 2002 und 2003 gemäss Art. 151 DBG sind hier somit nicht erfüllt.</w:t>
      </w:r>
    </w:p>
    <w:p>
      <w:r>
        <w:t>III. Kantons- und Gemeindesteuern</w:t>
      </w:r>
    </w:p>
    <w:p>
      <w:r>
        <w:rPr>
          <w:b/>
        </w:rPr>
        <w:t>E. 4</w:t>
      </w:r>
    </w:p>
    <w:p>
      <w:r>
        <w:t>Die Bestimmungen über die Nachsteuer im Steuerharmonisierungsgesetz ( Art. 53 StHG ) und im kantonalen Steuerrecht (§ 174 Abs. 1 des Steuergesetzes des Kantons Luzern vom 22. November 1999) stimmen mit der Regelung im Recht der direkten Bundessteuer überein. Für die Kantons- und Gemeindesteuern rechtfertigt sich die Erhebung von Nachsteuern ebenfalls nicht.</w:t>
      </w:r>
    </w:p>
    <w:p>
      <w:r>
        <w:t>IV. Kosten und Entschädigung</w:t>
      </w:r>
    </w:p>
    <w:p>
      <w:r>
        <w:rPr>
          <w:b/>
        </w:rPr>
        <w:t>E. 5</w:t>
      </w:r>
    </w:p>
    <w:p>
      <w:r>
        <w:t>Nach dem Gesagten ist die Beschwerde in öffentlich-rechtlichen Angelegenheiten gutzuheissen. Bei diesem Ausgang des Verfahrens hat der Kanton Luzern, der Vermögensinteressen wahrnimmt, die Kosten des Verfahrens vor Bundesgericht zu tragen (Art. 65 f. BGG). Die Beschwerdeführerin ist nicht anwaltlich vertreten und hat somit keinen Anspruch auf eine Parteientschädigung ( Art. 68 BGG ). Über die Kosten- und Entschädigungsfolgen des kantonalen Verfahrens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