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2C_556/2019 vom 26. Juni 2019</w:t>
      </w:r>
    </w:p>
    <w:p>
      <w:r>
        <w:t>Bundesgericht, 2019-06-26, DE</w:t>
      </w:r>
    </w:p>
    <w:p>
      <w:r>
        <w:rPr>
          <w:b/>
        </w:rPr>
        <w:t xml:space="preserve">Quelle: </w:t>
      </w:r>
      <w:r>
        <w:t>https://mcp.opencaselaw.ch/entscheid/bger_2C_556_2019</w:t>
      </w:r>
    </w:p>
    <w:p>
      <w:r>
        <w:t>FR: TF 2C_556/2019 du 26 juin 2019</w:t>
      </w:r>
    </w:p>
    <w:p>
      <w:r>
        <w:t>IT: TF 2C_556/2019 del 26 giugno 2019</w:t>
      </w:r>
    </w:p>
    <w:p>
      <w:pPr>
        <w:pStyle w:val="Heading2"/>
      </w:pPr>
      <w:r>
        <w:t>Erwägungen</w:t>
      </w:r>
    </w:p>
    <w:p>
      <w:r>
        <w:rPr>
          <w:b/>
        </w:rPr>
        <w:t>E. 1.1</w:t>
      </w:r>
    </w:p>
    <w:p>
      <w:r>
        <w:t>Die zuständige niederländische Steuerbehörde (Belastingdienst [BD]) richtete am 20. November 2017 gestützt auf Art. 26 des Abkommens vom 26. Februar 2010 zwischen der Schweizerischen Eidgenossenschaft und dem Königreich der Niederlande zur Vermeidung der Doppelbesteuerung auf dem Gebiet der Steuern vom Einkommen (SR 0.672.963.61; DBA CH-NL) ein Amtshilfegesuch in Form eines Gruppenersuchens an die Eidgenössische Steuerverwaltung (ESTV), mit welchem um Informationen betreffend namentlich nicht bekannte natürliche Personen ersucht wurde, welche im Zeitraum vom 1. Februar 2013 bis zum 31. Dezember 2016 Inhaber eines oder mehrerer Konten bei der C.________ &amp; Co. AG in der Schweiz waren. Um in die Gruppe einbezogen zu werden, mussten kumulativ drei Kriterien erfüllt sein, nämlich (a) eine niederländische Domiziladresse des Kontoinhabers, (b) der Versand einer schriftlichen Aufforderung der Bank an den Kontoinhaber zur Belegung der Steuerkonformität der Bankbeziehung und (c) der fehlende Nachweis der verlangten Steuerkonformität. In Bezug auf diejenigen Kontoinhaber, welche die genannten Kriterien erfüllen, wurde jeweils für jede dieser Personen um die Angabe von Vorname, Familienname, Domiziladresse, Geburtsdatum, Bankkontonummer und Vermögensstand der betroffenen Konten per 1. Februar 2013 sowie per 31. Dezember der Jahre 2013 bis 2016 ersucht.</w:t>
      </w:r>
    </w:p>
    <w:p>
      <w:r>
        <w:rPr>
          <w:b/>
        </w:rPr>
        <w:t>E. 1.2</w:t>
      </w:r>
    </w:p>
    <w:p>
      <w:r>
        <w:t>Nach Identifikation und Information der betroffenen Kontoinhaber ordnete die ESTV je mit Schlussverfügung vom 15. Mai 2018 die Übermittlung der edierten Bankunterlagen in Bezug auf die Kontoinhaber A.A.________ (2C_556/2019) und B.A.________ (2C_557/2019) an, wobei es sich bei Ersterem um den Vater des Letzteren handelt. Die gegen die Schlussverfügungen jeweils erhobenen Beschwerden wies das Bundesverwaltungsgericht mit Urteilen (A- 434/2018; A-3446/2018) vom 29. Mai 2019 ab.</w:t>
      </w:r>
    </w:p>
    <w:p>
      <w:r>
        <w:rPr>
          <w:b/>
        </w:rPr>
        <w:t>E. 1.3</w:t>
      </w:r>
    </w:p>
    <w:p>
      <w:r>
        <w:t>Jeweils mit Beschwerde in öffentlich-rechtlichen Angelegenheiten an das Bundesgericht vom 13. Juni 2019 beantragen A.A.________ (Beschwerdeführer 1) und B.A.________ (Beschwerdeführer 2) die Nichtig- und Ungültigerklärung des jeweiligen Amtshilfegesuchs des BD. Weitere, explizite Anträge enthalten die Beschwerden nicht. Anfechtungsobjekt vor Bundesgericht bildet aufgrund des Devolutiveffekts einzig das vorinstanzliche Urteil ( BGE 134 II 142 E. 1.4 S. 144; Urteil 2C_432/2016 vom 26. Januar 2018 E. 1.1). Im Betreff der Beschwerden findet sich jeweils der Wortlaut "Beschwerde gegen das Urteil des Bundesverwaltungsgerichts, Abteilung I, vom 29. Mai 2019 (A-3434/2018 [...]" respektive "[...] (A-3446/2018) [...]", weshalb davon auszugehen ist, dass sich die Beschwerden auch gegen das vorinstanzliche Urteil richten. In der Beschwerdebegründung, in deren Lichte die Anträge auszulegen sind ( BGE 136 V 131 E. 1.2 S. 135 f.; Urteil 4A_330/2008 vom 27. Januar 2010 E. 2.1, nicht publ. in: BGE 136 III 102 ), wird zudem inhaltlich auch das vorinstanzliche Urteil kritisiert, weshalb anzunehmen ist, dass mit dem genannten Antrag jeweils sinngemäss auch die Aufhebung des vorinstanzlichen Urteils verlangt wird.</w:t>
      </w:r>
    </w:p>
    <w:p>
      <w:r>
        <w:rPr>
          <w:b/>
        </w:rPr>
        <w:t>E. 1.4</w:t>
      </w:r>
    </w:p>
    <w:p>
      <w:r>
        <w:t>Da beide Beschwerden im Wesentlichen auf demselben Sachverhalt basieren und jeweils dieselben Anträge gestellt werden, rechtfertigt es sich, die Verfahren 2C_556/2019 und 2C_557/2019 in sinngemässer Anwendung von Art. 24 Abs. 2 lit. b BZP i.V.m. Art. 71 BGG zu vereinigen und in einem Urteil zu erledigen.</w:t>
      </w:r>
    </w:p>
    <w:p>
      <w:r>
        <w:rPr>
          <w:b/>
        </w:rPr>
        <w:t>E. 2.1</w:t>
      </w:r>
    </w:p>
    <w:p>
      <w:r>
        <w:t>Vorliegend enthalten die Beschwerden keine substanziierte Rüge der vorinstanzlichen Sachverhaltsfeststellung, weshalb von letzterer auszugehen ist ( Art. 97 Abs. 1 und Art. 105 Abs. 1 BGG ).</w:t>
      </w:r>
    </w:p>
    <w:p>
      <w:r>
        <w:rPr>
          <w:b/>
        </w:rPr>
        <w:t>E. 2.2</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2.3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w:t>
      </w:r>
    </w:p>
    <w:p>
      <w:r>
        <w:t>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t>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2.4</w:t>
      </w:r>
    </w:p>
    <w:p>
      <w:r>
        <w:t>Die vorliegenden Beschwerden enthalten keine Fragestellung im Sinne von Art. 84a BGG und die Beschwerdeführer machen auch nicht geltend, es stelle sich eine Rechtsfrage von grundsätzlicher Bedeutung. Ebensowenig wird geltend gemacht oder dargelegt, es liege ein besonders bedeutender Fall im Sinne von Art. 84a i.V.m. Art. 84 Abs. 2 BGG vor. Auf die Beschwerden ist deshalb nicht einzutreten.</w:t>
      </w:r>
    </w:p>
    <w:p>
      <w:r>
        <w:rPr>
          <w:b/>
        </w:rPr>
        <w:t>E. 3</w:t>
      </w:r>
    </w:p>
    <w:p>
      <w:r>
        <w:t>Dem Verfahrensausgang entsprechend haben die Beschwerdeführer die Gerichtskosten zu gleichen Teilen unter solidarischer Haftung zu tragen (Art. 65 und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