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555/2022 vom 14. Juli 2022</w:t>
      </w:r>
    </w:p>
    <w:p>
      <w:r>
        <w:t>Bundesgericht, 2022-07-14, FR</w:t>
      </w:r>
    </w:p>
    <w:p>
      <w:r>
        <w:rPr>
          <w:b/>
        </w:rPr>
        <w:t xml:space="preserve">Quelle: </w:t>
      </w:r>
      <w:r>
        <w:t>https://mcp.opencaselaw.ch/entscheid/bger_2C_555_2022</w:t>
      </w:r>
    </w:p>
    <w:p>
      <w:r>
        <w:t>FR: TF 2C 555/2022 du 14 juillet 2022</w:t>
      </w:r>
    </w:p>
    <w:p>
      <w:r>
        <w:t>IT: TF 2C 555/2022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A la demande de A.________, l'Administration fédérale lui a transmis l'intégralité des pièces du dossier les 23 mai 2017, 27 juillet 2017 et 9 juillet 2020. Dans ses observations du 31 août 2020, A.________ s'est opposé à tout échange de renseignements avec l'autorité requérante. Par trois décisions finales du 3 mars 2021 notifiées à A.________, l'Administration fédérale a accordé l'assistance administrative à l'autorité requérante. Contre ces décisions, A.________ a formé trois recours auprès du Tribunal administratif fédéral, concluant à leur annulation et au rejet de l'assistance administrative le concernant. Au préalable, il a requis la suspension de la procédure jusqu'à droit connu sur une procédure pénale qu'un client de la Banque avait intentée contre celle-ci. Par arrêt du 14 juin 2022 et après avoir joint les causes, le Tribunal administratif fédéral a rejeté les requêtes de suspension de la procédure pour autant qu'elles ne soient pas sans objet, ainsi que les recours.</w:t>
      </w:r>
    </w:p>
    <w:p>
      <w:r>
        <w:rPr>
          <w:b/>
        </w:rPr>
        <w:t>E. 1.5</w:t>
      </w:r>
    </w:p>
    <w:p>
      <w:r>
        <w:t>A l'encontre de cet arrêt, A.________ forme un recours en matière de droit public au Tribunal fédéral. Sous suite de frais et dépens, il conclut, principalement, à son annulation; subsidiairement, à son annulation et au renvoi de la cause au Tribunal administratif fédéral pour nouvelle décision dans le sens des considérants. A titre préalable, il requiert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 recourant soutient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 relève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l'Etat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 le recourant, les circonstances individuelles qu'il invoque ne mettent pas en évidence une problématique qui n'aurait pas été traitée dans la jurisprudence ou qui justifierait d'y revenir sous le couvert d'une approche différenciée. Ces circonstances individuelles sont à faire valoir en procédure dans l'Etat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l'effet suspensif étant déjà prévu à l' art. 103 al. 2 let . d LTF (arrêts 2C_232/2022 du 5 avril 2022 consid. 3; 2C_53/2021 du 22 janvier 2021 consid. 5).</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