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2C_554/2024 vom 18. Dezember 2024</w:t>
      </w:r>
    </w:p>
    <w:p>
      <w:r>
        <w:t>Bundesgericht, 2024-12-18, IT</w:t>
      </w:r>
    </w:p>
    <w:p>
      <w:r>
        <w:rPr>
          <w:b/>
        </w:rPr>
        <w:t xml:space="preserve">Quelle: </w:t>
      </w:r>
      <w:r>
        <w:t>https://mcp.opencaselaw.ch/entscheid/bger_2C_554_2024</w:t>
      </w:r>
    </w:p>
    <w:p>
      <w:r>
        <w:t>FR: TF 2C_554/2024 du 18 décembre 2024</w:t>
      </w:r>
    </w:p>
    <w:p>
      <w:r>
        <w:t>IT: TF 2C_554/2024 del 18 dicembre 2024</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di legge ( art. 100 cpv. 1 LTF ), contro una decisione finale di un tribunale superiore (art. 86 cpv. 1 lett. d e cpv. 2; art. 90 LTF ) e da persona con un interesse legittimo ad insorgere ( art. 89 cpv. 1 LTF ), di modo che va esaminata quale ricorso in materia di diritto pubblico (art. 82 segg. LTF).</w:t>
      </w:r>
    </w:p>
    <w:p>
      <w:r>
        <w:rPr>
          <w:b/>
        </w:rPr>
        <w:t>E. 2.1</w:t>
      </w:r>
    </w:p>
    <w:p>
      <w:r>
        <w:t>In presenza di un confronto con i contenuti del giudizio impugnato ( art. 42 cpv. 2 LTF ), il Tribunale federale applica il diritto federale d'ufficio ( art. 106 cpv. 1 LTF ) e può accogliere o respingere un ricorso anche per motivi diversi da quelli invocati o su cui si è fondata l'autorità inferiore. 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t>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2.3</w:t>
      </w:r>
    </w:p>
    <w:p>
      <w:r>
        <w:t>Il gravame rispetta i requisiti in materia di motivazione menzionati soltanto in parte. Nella misura in cui li disattende, sfugge di conseguenza a un esame del Tribunale federale.</w:t>
      </w:r>
    </w:p>
    <w:p>
      <w:r>
        <w:t>Nel contempo, date rispettivamente dimostrate non sono nemmeno le condizioni previste dall' art. 99 cpv. 1 LTF , di modo che i nuovi documenti allegati al ricorso e relativi al merito della causa non possono essere presi in considerazione.</w:t>
      </w:r>
    </w:p>
    <w:p>
      <w:r>
        <w:rPr>
          <w:b/>
        </w:rPr>
        <w:t>E. 3.1</w:t>
      </w:r>
    </w:p>
    <w:p>
      <w:r>
        <w:t>Al pari del Consiglio di Stato ticinese, la Corte cantonale ha tutelato l'agire delle autorità migratorie, che avevano revocato al ricorrente il permesso per frontalieri UE/AELS a suo tempo rilasciatogli. Esposto il quadro legale di riferimento e fatto rinvio agli atti, anch'essa ha infatti concluso: (a) che la B.________ Srl, W.________, succursale di X.________, non aveva una propria operatività effettiva, ma andava considerata una ramificazione su suolo svizzero della B.________ Srl, con sede a W.________; (b) che le condizioni per (continuare a) riconoscere il diritto a un permesso per frontalieri UE/AELS a una persona che indicava la B.________ Srl, W.________, succursale di X.________, quale datrice di lavoro in Svizzera non erano adempiute (giudizio impugnato, consid. 2-4).</w:t>
      </w:r>
    </w:p>
    <w:p>
      <w:r>
        <w:rPr>
          <w:b/>
        </w:rPr>
        <w:t>E. 3.2</w:t>
      </w:r>
    </w:p>
    <w:p>
      <w:r>
        <w:t>L'insorgente non concorda con il giudizio della Corte cantonale, che ritiene lesivo del diritto federale e del diritto internazionale. Contesta inoltre l'accertamento dei fatti, che sarebbe stato eseguito in modo parziale, insufficiente e a suo totale discapito (ricorso, pag. 5).</w:t>
      </w:r>
    </w:p>
    <w:p>
      <w:r>
        <w:rPr>
          <w:b/>
        </w:rPr>
        <w:t>E. 4.1</w:t>
      </w:r>
    </w:p>
    <w:p>
      <w:r>
        <w:t>L' art. 7 cpv. 1 allegato I ALC definisce il lavoratore dipendente frontaliere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frontaliere dipendente una carta speciale valida per almeno cinque anni o per la durata dell'impiego, se questa è superiore a tre mesi o inferiore a un anno. La carta è rinnovata per almeno cinque anni, purché il lavoratore frontaliere dimostri di esercitare un'attività economica.</w:t>
      </w:r>
    </w:p>
    <w:p>
      <w:r>
        <w:t>Se le condizioni per il rilascio non sono (più) adempiute, il permesso per frontalieri UE/AELS può essere revocato o non prorogato (art. 23 dell'ordinanza del 22 maggio 2002 sull'introduzione della libera circolazione delle persone [OLCP; RS 142.203]; sentenza 2C_897/2022 del 6 settembre 2023 consid. 5.2).</w:t>
      </w:r>
    </w:p>
    <w:p>
      <w:r>
        <w:rPr>
          <w:b/>
        </w:rPr>
        <w:t>E. 4.2</w:t>
      </w:r>
    </w:p>
    <w:p>
      <w:r>
        <w:t>Secondo le istruzioni della Segreteria di Stato della migrazione relative all'OLCP (istruzioni OLCP-01/2024),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(menzionate istruzioni, punto 4.2.1, pag. 37-38).</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2C_231/2023 dell'11 luglio 2023 consid. 5.3).</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L'insorgente sostiene che il giudizio impugnato violi il diritto federale e internazionale. Da una lettura del gravame, risulta tuttavia che egli non contesta l'impostazione giuridica data al suo caso, che è del resto corretta (sentenze 2C_897/2022 del 6 settembre 2023 consid. 4; 2C_185/2023 del 28 agosto 2023 consid. 4; 2C_231/2023 dell'11 luglio 2023 consid. 5 e 6), ma solo l'accertamento dei fatti e l'apprezzamento delle prove, che considera essere stati eseguiti in modo parziale, insufficiente e a suo totale discapito (ricorso, pag. 5 segg.).</w:t>
      </w:r>
    </w:p>
    <w:p>
      <w:r>
        <w:t>Così argomentando, pone quindi questioni che il Tribunale federale rivede solo nell'ottica del divieto d'arbitrio e che implicano un onere di motivazione accresciuto (sentenze 2C_497/2023 dell'8 gennaio 2024 consid. 5.1; 2C_496/2023 del 5 ottobre 2023 consid. 5.1).</w:t>
      </w:r>
    </w:p>
    <w:p>
      <w:r>
        <w:rPr>
          <w:b/>
        </w:rPr>
        <w:t>E. 5.2</w:t>
      </w:r>
    </w:p>
    <w:p>
      <w:r>
        <w:t>Nell'impugnativa e, più in particolare, nel capitolo intitolato "quo dell'attività svolta in Svizzera dalla B.________ Srl (succursale di X.________) ", una violazione dell' art. 9 Cost. non è però dimostrata perché, pur richiamandosi al divieto d'arbitrio, il ricorrente si limita a fornire una propria lettura della fattispecie, che completa e precisa liberamente, e a contrapporla a quella contenuta nella sentenza impugnata - che ritiene "inconsistente", "risibile" e "senza pregio" - ciò che non basta.</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non può limitarsi ad affermare l'arbitrio - come fa anche l'insorgente, definendo il giudizio impugnato "al limite della temerarietà" - ma deve argomentare, per ogni accertamento criticato, in che modo le prove già addotte in sede cantonale avrebbero dovuto essere valutate, perché l'apprezzamento dell'autorità sia insostenibile e in che misura la lesione invocata sarebbe suscettibile d'avere influenza sull'esito del litigio nel suo complesso ( DTF 143 IV 500 consid. 1.1; sentenza 2C_496/2023 del 5 ottobre 2023 consid. 5.2).</w:t>
      </w:r>
    </w:p>
    <w:p>
      <w:r>
        <w:t>Resta pertanto da verificare se, alla luce dei fatti che risultano dal giudizio impugnato, che vincolano il Tribunale federale ( art. 105 cpv. 1 LTF ), l'esito cui giunge l'istanza inferiore sia giusto.</w:t>
      </w:r>
    </w:p>
    <w:p>
      <w:r>
        <w:rPr>
          <w:b/>
        </w:rPr>
        <w:t>E. 6.1</w:t>
      </w:r>
    </w:p>
    <w:p>
      <w:r>
        <w:t>Ora, dal giudizio impugnato risulta che il Tribunale amministrativo ticinese considera almeno a tratti la B.________ Srl, W.________, succursale di X.________, come una "società" rispettivamente come "un'entità giuridica a sé stante" (ivi, consid. 4.3), ciò che sul piano legale non è corretto.</w:t>
      </w:r>
    </w:p>
    <w:p>
      <w:r>
        <w:t>In effetti, una succursale di una società si caratterizza per il fatto di avere una certa autonomia finanziaria e commerciale, che le permette di concludere - sotto una direzione indipendente e facendo capo a infrastrutture proprie - delle transazioni commerciali in un ambito simile a quello in cui opera la società della quale fa parte. Tuttavia, una succursale non ha una personalità giuridica distinta e, di conseguenza, non può essere trattata come un soggetto a sé stante rispetto alla società stessa nemmeno "sulla carta", come indicato sempre nel giudizio impugnato ( DTF 141 V 272 consid. 4.2; sentenza 4A_476/2021 del 6 luglio 2022 consid. 3.1, con ulteriori rinvii; NICOLAS ROUILLER, Droit des sociétés, 2024, § 7 n. 1 segg; ARTHUR MEIER-HAYOZ/PETER FORSTMOSER, Schweizerisches Gesellschaftsrecht, 13a ed. 2023, § 24 n. 14 segg.).</w:t>
      </w:r>
    </w:p>
    <w:p>
      <w:r>
        <w:rPr>
          <w:b/>
        </w:rPr>
        <w:t>E. 6.2</w:t>
      </w:r>
    </w:p>
    <w:p>
      <w:r>
        <w:t>Fatta questa precisazione di natura giuridica in relazione all'argomentazione contenuta nel giudizio impugnato, va però rilevato che la conclusione alla quale giunge la Corte cantonale, secondo cui la revoca del permesso per frontalieri UE/AELS era corretta, perché la B.________ Srl, W.________, succursale di X.________, non poteva essere riconosciuta come una datrice di lavoro ai sensi dell'ALC, dev'essere condivisa.</w:t>
      </w:r>
    </w:p>
    <w:p>
      <w:r>
        <w:rPr>
          <w:b/>
        </w:rPr>
        <w:t>E. 6.2.1</w:t>
      </w:r>
    </w:p>
    <w:p>
      <w:r>
        <w:t>Come appena indicato, quella che viene definita dal Tribunale amministrativo ticinese quale "ditta elvetica" datrice di lavoro dell'insorgente, non è infatti un'entità giuridica autonoma e indipendente, ma parte della società B.________ Srl, con sede a W.________ (I).</w:t>
      </w:r>
    </w:p>
    <w:p>
      <w:r>
        <w:rPr>
          <w:b/>
        </w:rPr>
        <w:t>E. 6.2.2</w:t>
      </w:r>
    </w:p>
    <w:p>
      <w:r>
        <w:t>Nel contempo, la "ditta elvetica" iscritta a registro di commercio quale B.________ Srl, W.________, succursale di X.________, non risulta invero nemmeno avere le caratteristiche di una succursale, che si qualifica per il fatto di disporre di una certa autonomia finanziaria e commerciale e di infrastrutture proprie, utilizzabili durevolmente. Questo perché - in base ai fatti che risultano dal giudizio impugnato, che il ricorrente non ha messo validamente in discussione e che vincolano anche il Tribunale federale ( art. 105 cpv. 1 LTF ; precedente consid. 5) - essa non ha su suolo svizzero nessuna infrastruttura propria (magazzini, depositi o uffici). Per il materiale necessario all'esercizio della sua attività, fa capo ai magazzini della B.________ Srl, W.________, che si trovano a Z.________, in provincia di Varese (I), mentre le uniche indicazioni contenute nella querelata sentenza in merito a un "apparato amministrativo" rispettivamente a un "servizio di segretariato" si riferiscono alla sublocazione di uno "spazio saltuario" e a un "indirizzo di domiciliazione" presso la D.________ SA, la quale è nel frattempo fallita.</w:t>
      </w:r>
    </w:p>
    <w:p>
      <w:r>
        <w:rPr>
          <w:b/>
        </w:rPr>
        <w:t>E. 6.3</w:t>
      </w:r>
    </w:p>
    <w:p>
      <w:r>
        <w:t>Ritenuto che, giusta l' art. 7 allegato I ALC , relativo ai permessi per frontalieri UE/AELS, è necessario un datore di lavoro che eserciti in Svizzera un'attività reale e indipendente (precedente consid. 4), che l'insorgente non indica di avere nel frattempo cambiato impiego e che la B.________ Srl, W.________, succursale di X.________, non può essere riconosciuta quale datrice di lavoro a sé stante ai sensi della norma menzionata, il ricorso dev'essere di conseguenza respinto.</w:t>
      </w:r>
    </w:p>
    <w:p>
      <w:r>
        <w:t>Al ricorrente e alla sua richiesta sussidiaria di rinviare l'incarto all'istanza inferiore per nuovo esame e nuovo giudizio non giova infatti nemmeno il riferimento alla sentenza 2C_543/2022 del 29 settembre 2023 perché, in quel caso, il Tribunale federale ha deciso un rinvio dopo avere constatato che alcune delle critiche con le quali veniva denunciata la lesione del diritto di essere sentiti erano fondate. Censure precise e circostanziate in tal senso non sono state qui però presentate ( art. 106 cpv. 2 LTF ; precedente consid. 2.2 seg.).</w:t>
      </w:r>
    </w:p>
    <w:p>
      <w:r>
        <w:rPr>
          <w:b/>
        </w:rPr>
        <w:t>E. 7</w:t>
      </w:r>
    </w:p>
    <w:p>
      <w:r>
        <w:t>In base a una lecita (parziale) sostituzione degli argomenti indicati dalla Corte cantonale, il ricorso dev'essere pertanto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