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2C_554/2010 vom 21. September 2011</w:t>
      </w:r>
    </w:p>
    <w:p>
      <w:r>
        <w:t>Bundesgericht, 2011-09-21, DE</w:t>
      </w:r>
    </w:p>
    <w:p>
      <w:r>
        <w:rPr>
          <w:b/>
        </w:rPr>
        <w:t xml:space="preserve">Quelle: </w:t>
      </w:r>
      <w:r>
        <w:t>https://mcp.opencaselaw.ch/entscheid/bger_2C_554_2010</w:t>
      </w:r>
    </w:p>
    <w:p>
      <w:r>
        <w:t>FR: TF 2C_554/2010 du 21 septembre 2011</w:t>
      </w:r>
    </w:p>
    <w:p>
      <w:r>
        <w:t>IT: TF 2C_554/2010 del 21 settembre 2011</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und Art. 90 BGG ). Als Steuerpflichtiger ist der Beschwerdeführer zur Ergreifung dieses Rechtsmittels legitimiert ( Art. 89 Abs. 1 BGG ).</w:t>
      </w:r>
    </w:p>
    <w:p>
      <w:r>
        <w:rPr>
          <w:b/>
        </w:rPr>
        <w:t>E. 1.2</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w:t>
      </w:r>
    </w:p>
    <w:p>
      <w:r>
        <w:rPr>
          <w:b/>
        </w:rPr>
        <w:t>E. 1.4</w:t>
      </w:r>
    </w:p>
    <w:p>
      <w:r>
        <w:t>Am 1. Januar 2010 sind das Bundesgesetz über die Mehrwertsteuer vom 12. Juni 2009 (Mehrwertsteuergesetz, MWSTG; SR 641.20) sowie die dazugehörige Verordnung vom 27. November 2009 (MWSTV; SR 641.201) in Kraft getreten. Die materielle Beurteilung des vorliegenden Sachverhalts richtet sich jedoch für den Zeitraum vom 1. Januar 2001 bis 31. Dezember 2002 gemäss Art. 112 Abs. 1 MWSTG noch nach dem Bundesgesetz vom 2. September 1999 über die Mehrwertsteuer (aMWSTG; AS 2000 1300) bzw. für den Zeitraum vom 1. Januar 1998 bis 31. Dezember 2000 gemäss Art. 93 und 94 aMWSTG nach der (alten) Verordnung vom 22. Juni 1994 über die Mehrwertsteuer (aMWSTV; AS 1994 1464).</w:t>
      </w:r>
    </w:p>
    <w:p>
      <w:r>
        <w:rPr>
          <w:b/>
        </w:rPr>
        <w:t>E. 2.1</w:t>
      </w:r>
    </w:p>
    <w:p>
      <w:r>
        <w:t>Die in Art. 5 aMWSTG genannten Umsätze, d.h. die im Inland entgeltlich erbrachten Lieferungen von Gegenständen und die entgeltlich erbrachten Dienstleistungen, der entgeltliche Bezug von Dienstleistungen aus dem Ausland, sowie der Eigenverbrauch, unterliegen der Mehrwertsteuer (objektive Steuerpflicht), sofern sie von einem Steuerpflichtigen getätigt werden (subjektive Steuerpflicht) und nicht ausdrücklich von der Steuer ausgenommen (oder befreit) sind. Als Dienstleistung gilt dabei jede Leistung, die keine Lieferung eines Gegenstandes ist (Art. 7 aMWSTG). Das Gesagte gilt in gleicher Weise nach den Bestimmungen der früheren Mehrwertsteuerverordnung (Art. 4 und 6 aMWSTV).</w:t>
      </w:r>
    </w:p>
    <w:p>
      <w:r>
        <w:rPr>
          <w:b/>
        </w:rPr>
        <w:t>E. 2.2</w:t>
      </w:r>
    </w:p>
    <w:p>
      <w:r>
        <w:t>Die Details der subjektiven Steuerpflicht ergeben sich aus Art. 21 aMWSTG bzw. Art. 17 aMWSTV. Diese Bestimmungen gehen davon aus, dass steuerpflichtig ist, "wer eine mit der Erzielung von Einnahmen verbundene gewerbliche oder berufliche Tätigkeit selbständig ausübt, auch wenn die Gewinnabsicht fehlt, sofern seine Lieferungen, seine Dienstleistungen und sein Eigenverbrauch im Inland jährlich gesamthaft 75'000 Franken übersteigen". Die subjektive Steuerpflicht ist dann gegeben, wenn eine gewerbliche oder berufliche Tätigkeit vorliegt, welche selbständig ausgeübt wird, mit der Einnahmen erzielt werden und die auf eine gewisse Dauer ausgerichtet ist (vgl. dazu den Bericht der Kommission für Wirtschaft und Abgaben des Nationalrates vom 28. August 1996 zur parlamentarischen Initiative Dettling betreffend das Bundesgesetz über die Mehrwertsteuer, in: BBl 1996 V 713, S. 757 f., zu Art. 20 des Entwurfs; Urteil des Bundesgerichts 2C_518/2007 vom 11. März 2008 E. 2.2 mit Hinweisen sowie JEAN-MARC RIVIER/ANNIE ROCHAT PAUCHARD, Droit fiscal Suisse, La Taxe sur la Valeur Ajoutée, Freiburg 2000, S. 99 f.). Als Indizien, welche für eine selbständige Tätigkeit sprechen, werden in der Praxis insbesondere genannt: Das Tragen des unternehmerischen Risikos (Gewinn und Verlust), das Handeln und Auftreten in eigenem Namen gegenüber Dritten, die Wahlfreiheit, eine Aufgabe anzunehmen oder nicht und diese selbständig organisieren zu können (vgl. Urteile 2C_518/2007 vom 11. März 2008 E. 2.2, 2P.47/2006 vom 6. Juli 2006 E. 3.2 und 2P.304/2003 vom 14. November 2003 E. 3.3; je mit Hinweisen). Daneben werden in der Lehre weitere Kriterien angeführt, wie die Beschäftigung von Personal, die Vornahme erheblicher Investitionen, eigene Geschäftsräumlichkeiten, verschiedene und wechselnde Auftraggeber sowie die betriebswirtschaftliche und arbeitsorganisatorische Unabhängigkeit (vgl. dazu ALOIS CAMENZIND/NIKLAUS HONAUER/KLAUS A. VALLENDER, Handbuch zum Mehrwertsteuergesetz, 2. Aufl., Bern 2003, S. 346 f. Rz. 1009-1013). Ob eine Tätigkeit als selbständig oder unselbständig anzusehen ist, bestimmt sich aufgrund einer umfassenden Würdigung sämtlicher einschlägiger Faktoren (vgl. Urteil 2C_518/2007 vom 11. März 2008 E. 2.2 mit Hinweis). Aus dem deutschen Recht lässt sich dagegen bei dieser Rechtslage - entgegen der Meinung des Beschwerdeführers - nichts Abweichendes zu dessen Gunsten ableiten.</w:t>
      </w:r>
    </w:p>
    <w:p>
      <w:r>
        <w:rPr>
          <w:b/>
        </w:rPr>
        <w:t>E. 3</w:t>
      </w:r>
    </w:p>
    <w:p>
      <w:r>
        <w:t>Streitig ist hauptsächlich, ob die Umsätze aus den Dienstleistungen, welche die "Untermieter" in den Geschäftslokalen des Beschwerdeführers erzielten, mehrwertsteuerlich dem Beschwerdeführer als Betreiber zuzuordnen sind. Der Beschwerdeführer stellt dies in Abrede mit der Begründung, die "Untermieter" seien einer selbständigen Tätigkeit nachgegangen. Er macht zudem geltend, für die vorgenommene Besteuerung fehle es an einer genügenden gesetzlichen Grundlage.</w:t>
      </w:r>
    </w:p>
    <w:p>
      <w:r>
        <w:t>Nicht bestritten ist der vorinstanzliche Entscheid dagegen insoweit, als der Beschwerdeführer als Gesellschafter verschiedener einfacher Gesellschaften einzeln belangt wird (vgl. dazu E. 2.2 des angefochtenen Urteils).</w:t>
      </w:r>
    </w:p>
    <w:p>
      <w:r>
        <w:rPr>
          <w:b/>
        </w:rPr>
        <w:t>E. 3.1</w:t>
      </w:r>
    </w:p>
    <w:p>
      <w:r>
        <w:t>Ein für die Beurteilung der Selbständigkeit wesentliches Indiz ist - wie oben (E. 2.2) dargelegt - ob das Handeln und der Auftritt nach Aussen in eigenem Namen oder unter einer gemeinsamen Firma erfolgt.</w:t>
      </w:r>
    </w:p>
    <w:p>
      <w:r>
        <w:t>Vorliegend steht aufgrund umfassender - nicht bestrittener - Sachverhaltsfeststellungen der Vorinstanz Folgendes fest: Die Geschäftsfläche bzw. -räume der "Untermieter" befinden sich in den Geschäftsräumlichkeiten des Beschwerdeführers. Der Zugang zu den Dienstleistungen der "Untermieter" erfolgt ausschliesslich durch das Geschäftslokal des Beschwerdeführers. Es besteht eine unternehmerische bzw. partnerschaftliche Zusammenarbeit zwischen den einzelnen Dienstleistern. Der Beschwerdeführer bestimmt für die Dienstanbieter betriebs- und arbeitsorganisatorische Rahmenbedingungen. Die Werbung erfolgt unter dem Namen des Beschwerdeführers für ein Gesamtpaket an Dienstleistungen im Schönheits- und Wellnessbereich.</w:t>
      </w:r>
    </w:p>
    <w:p>
      <w:r>
        <w:t>Entgegen der Ansicht des Beschwerdeführers ergibt sich aus den Sachverhaltsfeststellungen, dass seine "Untermieter" gerade nicht völlig unabhängig handeln können. Sie haben dem Konzept der Y.________-Geschäfte entsprechend nach aussen als Einheit aufzutreten (z.B. Werbung, Plakate), wobei als Leistungserbringer lediglich der Beschwerdeführer in Erscheinung tritt, und sich an diverse Weisungen des Beschwerdeführers beispielsweise betreffend Erscheinungsbild, Rauchverbot, Farbe der Innenwände, einheitliche Frottiertücher und Bademäntel zu halten.</w:t>
      </w:r>
    </w:p>
    <w:p>
      <w:r>
        <w:t>Das Bundesverwaltungsgericht hat nicht übersehen, dass gewisse Anhaltspunkte (vereinzelte Anschriften der "Untermieter" beim Eingang, eigenes unternehmerisches Risiko der " Untermieter", teilweise vorhandene eigene Telefonanschlüsse usw.) bestehen, die rein zivilrechtlich für die Selbständigkeit sprechen, aber es hat diese zu Recht als nicht so bedeutend erachtet, dass die obgenannnten Indizien in den Hintergrund treten würden.</w:t>
      </w:r>
    </w:p>
    <w:p>
      <w:r>
        <w:rPr>
          <w:b/>
        </w:rPr>
        <w:t>E. 3.2</w:t>
      </w:r>
    </w:p>
    <w:p>
      <w:r>
        <w:t>Der Schluss der Vorinstanz, die in den Geschäftsbetrieben des Beschwerdeführers angebotenen Dienstleistungen der "Untermieter" seien aufgrund des äusseren Erscheinungsbildes und der (geschäfts-) internen Organisation als abhängige, unselbständige Tätigkeiten zu qualifizieren, ist bei dieser Sachlage nicht zu beanstanden. Folgerichtig ergibt sich daraus, dass der damit erzielte Umsatz dem jeweiligen Geschäftsbetrieb des Beschwerdeführers, bzw. an welchem der Beschwerdeführer beteiligt ist, aufzurechnen ist.</w:t>
      </w:r>
    </w:p>
    <w:p>
      <w:r>
        <w:t>Diese Zurechnung des Umsatzes der wirtschaftlich als unselbständig tätigen "Untermieter" basiert direkt auf Art. 21 aMWSTG bzw. Art. 17 aMWSTV, weshalb die Rüge der fehlenden gesetzlichen Grundlage fehl geht.</w:t>
      </w:r>
    </w:p>
    <w:p>
      <w:r>
        <w:rPr>
          <w:b/>
        </w:rPr>
        <w:t>E. 3.3</w:t>
      </w:r>
    </w:p>
    <w:p>
      <w:r>
        <w:t>Aus dem Urteil 2C_742/2008 vom 11. Februar 2009 kann der Beschwerdeführer nichts zu seinen Gunsten ableiten. Die Steuerumgehung als Voraussetzung der Anwendung des Grundsatzes der Unternehmenseinheit ist dann erforderlich, wenn mehrere selbständige Unternehmen gegeben sind, die ausnahmsweise nicht als je separate Unternehmen betrachtet werden. Wie dargelegt, handelt es sich bei den "Untermietern" des Beschwerdeführers gerade nicht um separate selbständige Steuersubjekte. Vielmehr sind die von den "Untermietern" namentlich aufgrund ihres fehlenden selbständigen Auftritts nach aussen erzielten Umsätze direkt den gegenüber unabhängigen Dritten allein als Leistungserbringer in Erscheinung tretenden Geschäftsbetrieben des Beschwerdeführers zuzurechnen. Demzufolge geht es hier nicht um die Anwendung des Grundsatzes der Unternehmenseinheit im obgenannten Sinne, weshalb sich die Frage der Steuerumgehung nicht stellt. Ebenso geht aus diesem Grunde die Rüge ins Leere, der Begriff der Unternehmenseinheit sei schwammig.</w:t>
      </w:r>
    </w:p>
    <w:p>
      <w:r>
        <w:rPr>
          <w:b/>
        </w:rPr>
        <w:t>E. 3.4</w:t>
      </w:r>
    </w:p>
    <w:p>
      <w:r>
        <w:t>Die Berufung auf Treu und Glauben ist unbehelflich. Dass die Mehrwertsteuerpflicht die Selbständigkeit der ausgeübten Tätigkeit voraussetzt, ergibt sich direkt aus den Gesetzesbestimmungen (Art. 21 Abs. 1 aMWSTG bzw. Art. 17 Abs. 1 aMWSTV). Die logische Folge, dass bei mehrwertsteuerrechtlich unselbständiger Tätigkeit der damit erzielte Umsatz dem zuständigen selbständigen Unternehmensinhaber zuzurechnen ist, leitet sich ebenfalls aus der gesetzlichen Regelung ab. Irgendwelche besonderen Publikationen der Eidgenössischen Steuerverwaltung waren diesbezüglich nicht erforderlich. Ob und wie die Eidgenössische Steuerverwaltung ihre Praxis allenfalls dem Coiffeurmeisterverband mitteilte, ist daher nicht von Belang. Aus den Schreiben der Eidgenössischen Steuerverwaltung an den Coiffeurmeisterverband kann der Beschwerdeführer folglich nichts zu seinen Gunsten ableiten.</w:t>
      </w:r>
    </w:p>
    <w:p>
      <w:r>
        <w:rPr>
          <w:b/>
        </w:rPr>
        <w:t>E. 4.1</w:t>
      </w:r>
    </w:p>
    <w:p>
      <w:r>
        <w:t>Unbegründet ist auch die Rüge, die Ermessenseinschätzung sei unzulässig. Vorab ist festzustellen, dass der Beschwerdeführer aufgrund des Selbstveranlagungsprinzips (Art. 37 f. aMWSTV bzw. Art. 46 f. a MWSTG) für die korrekte und umfassende Deklaration selbst verantwortlich ist (vgl. Urteil 2C_382/2007 vom 23. November 2007 E. 4.2). Entgegen der Meinung des Beschwerdeführers trifft nicht zu, dass die Eidgenössische Steuerverwaltung ihm zur Beibringung von Unterlagen hätte Frist ansetzen sollen. Sodann ist unbestritten, dass die eidgenössische Steuerverwaltung über keine vollständigen Aufzeichnungen verfügte, welche insbesondere die Umsätze der "Untermieter" enthielten. Es geht auch nicht um verschiedene Unternehmen, die allenfalls einheitlich (analog einer Gruppenbesteuerung) zu besteuern wären. Die Ausführungen betreffend Auskunftspflicht nach Art. 73 Abs. 2 lit. b MWSTG erweisen sich daher als nicht relevant. Vielmehr handelt es sich vorliegend um eine einzige Unternehmung (diejenige des Beschwerdeführers), da sich die Tätigkeiten der einzelnen Dienstleister innerhalb seiner Geschäftsbetriebe - wie erwähnt - mehrwertsteuerrechtlich nicht als selbständig erweisen. Unter den vorliegenden Umständen nahm die Eidgenössische Steuerverwaltung zu Recht eine Ermessenseinschätzung (Art. 60 aMWSTG bzw. Art. 48 aMWSTV) vor. Die durch das Bundesverwaltungsgericht geschützte ermessensweise Aufrechnung der Umsätze wird vor Bundesgericht betragsmässig nicht angefochten.</w:t>
      </w:r>
    </w:p>
    <w:p>
      <w:r>
        <w:rPr>
          <w:b/>
        </w:rPr>
        <w:t>E. 4.2</w:t>
      </w:r>
    </w:p>
    <w:p>
      <w:r>
        <w:t>Weiter kann von einer Verletzung des rechtlichen Gehörs ( Art. 29 Abs. 2 BV ) im Zusammenhang mit der Einschätzung der Umsätze der "Untermieter" nicht die Rede sein. Der Beschwerdeführer hatte zweifellos Gelegenheit, sich im Rahmen des Verfahrens zur Frage der Einschätzung zu äussern. Dass dies allenfalls erst nach Abschluss der vorgenommenen Kontrolle möglich war, ist nicht zu beanstanden und stellt keineswegs eine Verletzung des Gehöranspruchs dar. Wie lange die Kontrolle in den Geschäftsbetrieben des Beschwerdeführers gedauert hat, ist insofern nicht von Belang, weshalb es sich erübrigt auf die diesbezüglichen Vorbringen des Beschwerdeführers in seiner Replik näher einzugehen. Die Eidgenössische Steuerverwaltung informierte unter anderem auch den Beschwerdeführer über das Kontrollergebnis und ihre Absicht, ihm die Umsätze der einzelnen "Untermieter" ermessensweise zuzurechnen. Die Ergänzungsabrechnungen, welche später erfolgten, stellen zudem noch keine anfechtbaren Verfügungen dar, weshalb es für die Gewährung des rechtlichen Gehörs ausreicht, wenn sich der Steuerpflichtige nach der Erstellung der Ergänzungsabrechnung äussern kann. Im vorliegenden Fall fand zudem vor Erlass des einsprachefähigen Entscheids noch eine Besprechung zwischen dem Beschwerdeführer (in Begleitung seines Rechtsvertreters und seiner Treuhänderin) und Vertretern der Eidgenössischen Steuerverwaltung statt. Im Einspracheverfahren muss der Steuerpflichtige sodann mit schlüssigen Beweismitteln darlegen, weshalb die Ermessenseinschätzung nicht den Tatsachen entspricht. Der Beschwerdeführer macht nicht geltend, er habe mit entsprechenden Belegen nachgewiesen, dass die vorgenommene Schätzung falsch sei. Dass die Eidgenössische Steuerverwaltung sich zu Unrecht nicht mit seinen Vorbringen auseinandergesetzt und insofern das rechtliche Gehör verletzt hätte, ist weder dargetan noch ersichtlich.</w:t>
      </w:r>
    </w:p>
    <w:p>
      <w:r>
        <w:rPr>
          <w:b/>
        </w:rPr>
        <w:t>E. 4.3</w:t>
      </w:r>
    </w:p>
    <w:p>
      <w:r>
        <w:t>Was die gerügte Verletzung des Beschleunigungsgebots ( Art. 29 Abs. 1 BV ) anbelangt, zeigt der Beschwerdeführer nicht auf, inwiefern die diesbezüglichen Ausführungen des Bundesverwaltungsgerichts falsch sein sollten. Er übersieht insbesondere, dass es seine Aufgabe gewesen wäre, die Unterlagen einzureichen, welche die Unrichtigkeit der Ermessensveranlagung hätten belegen können. Dass er die seines Erachtens im Jahr 2003 leichter zugänglichen notwendigen Beweismittel damals nicht besorgt hatte, hat er sich - wie die Vorinstanz zutreffend festhält - selber zuzuschreiben.</w:t>
      </w:r>
    </w:p>
    <w:p>
      <w:r>
        <w:rPr>
          <w:b/>
        </w:rPr>
        <w:t>E. 5</w:t>
      </w:r>
    </w:p>
    <w:p>
      <w:r>
        <w:t>Nach dem Gesagten erweist sich die Beschwerde als unbegründet und ist abzuweisen. Zur Begründung kann ergänzend auf die zutreffenden Ausführungen im angefochtenen Urteil verwiesen werden.</w:t>
      </w:r>
    </w:p>
    <w:p>
      <w:r>
        <w:t>Dem Ausgang entsprechend wird der Beschwerdeführer kostenpflichtig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