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2C_551/2021 vom 24. Januar 2022</w:t>
      </w:r>
    </w:p>
    <w:p>
      <w:r>
        <w:t>Bundesgericht, 2022-01-24, DE</w:t>
      </w:r>
    </w:p>
    <w:p>
      <w:r>
        <w:rPr>
          <w:b/>
        </w:rPr>
        <w:t xml:space="preserve">Quelle: </w:t>
      </w:r>
      <w:r>
        <w:t>https://mcp.opencaselaw.ch/entscheid/bger_2C_551_2021</w:t>
      </w:r>
    </w:p>
    <w:p>
      <w:r>
        <w:t>FR: TF 2C_551/2021 du 24 janvier 2022</w:t>
      </w:r>
    </w:p>
    <w:p>
      <w:r>
        <w:t>IT: TF 2C_551/2021 del 24 gennaio 2022</w:t>
      </w:r>
    </w:p>
    <w:p>
      <w:pPr>
        <w:pStyle w:val="Heading2"/>
      </w:pPr>
      <w:r>
        <w:t>Erwägungen</w:t>
      </w:r>
    </w:p>
    <w:p>
      <w:r>
        <w:rPr>
          <w:b/>
        </w:rPr>
        <w:t>E. 1.1</w:t>
      </w:r>
    </w:p>
    <w:p>
      <w:r>
        <w:t>Die Voraussetzungen der Beschwerde in öffentlich-rechtlichen Angelegenheiten (Art. 82 lit. a, Art. 83 e contrario, Art. 86 Abs. 1 lit. a, Art. 89 Abs. 1, Art. 90 und Art. 100 Abs. 1 BGG ) sind gegeben.</w:t>
      </w:r>
    </w:p>
    <w:p>
      <w:r>
        <w:rPr>
          <w:b/>
        </w:rPr>
        <w:t>E. 1.2</w:t>
      </w:r>
    </w:p>
    <w:p>
      <w:r>
        <w:t>Das Bundesgericht wendet das Bundesgesetzesrecht von Amtes wegen an ( Art. 106 Abs. 1 BGG ) und prüft es mit uneingeschränkter (voller) Kognition ( Art. 95 lit. a BGG ; BGE 147 II 300 E. 1).</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w:t>
      </w:r>
    </w:p>
    <w:p>
      <w:r>
        <w:rPr>
          <w:b/>
        </w:rPr>
        <w:t>E. 2.1</w:t>
      </w:r>
    </w:p>
    <w:p>
      <w:r>
        <w:t>Formelle Rügen - wie namentlich Gehörsrügen - können ungeachtet der materiellen Begründetheit des Rechtsmittels zur Gutheissung der Beschwerde und zur Aufhebung des angefochtenen Entscheids führen, weshalb sie vorab zu behandeln sind (Urteile 2C_788/2021 vom 27. Oktober 2021 E. 3.1; 2C_196/2017 vom 21. Februar 2019 E. 3, nicht publ. in: BGE 145 II 49 ; insbesondere zur formellen Natur des Gehörsanspruchs: BGE 144 I 11 E. 5.3; 144 IV 302 E. 3.1; 143 IV E. 1.4.1; 142 II 218 E. 2.8.1 ; 137 I 195 E. 2.2).</w:t>
      </w:r>
    </w:p>
    <w:p>
      <w:r>
        <w:rPr>
          <w:b/>
        </w:rPr>
        <w:t>E. 2.2</w:t>
      </w:r>
    </w:p>
    <w:p>
      <w:r>
        <w:t>Dementsprechend ist zunächst der Frage nachzugehen, ob die Steuerpflichtige durch die vorinstanzliche Verfahrensführung in ihrem Anspruch auf rechtliches Gehör verletzt worden sei, wie die Steuerpflichtige dies im bundesgerichtlichen Verfahren geltend macht.</w:t>
      </w:r>
    </w:p>
    <w:p>
      <w:r>
        <w:rPr>
          <w:b/>
        </w:rPr>
        <w:t>E. 2.2.1</w:t>
      </w:r>
    </w:p>
    <w:p>
      <w:r>
        <w:t>Gemäss Art. 29 Abs. 2 in Verbindung mit Art. 29 Abs. 1 BV haben die an einem Gerichtsverfahren beteiligten Parteien Anspruch auf rechtliches Gehör und auf ein faires Gerichtsverfahren. Daraus ergibt sich auch das Recht einer Prozesspartei, von allen von den Gegenparteien bei Gericht eingereichten Stellungnahmen Kenntnis zu erhalten und sich dazu äussern zu können, unabhängig davon, ob diese Eingaben auch wirklich neue und/oder wesentliche Vorbringen enthalten. Es ist alleinige Sache der Parteien - und nicht des Gerichts - darüber zu befinden, ob eine Entgegnung erforderlich sei ( BGE 146 III 97 E. 3.4.1; 142 III 48 E. 4.1.1 ; 139 I 189 E. 3.2 ; 138 I 484 E. 2.1 ; 137 I 195 E. 2; siehe auch BGE 146 IV 218 E. 3.1.1 zum Recht auf Akteneinsicht). Das</w:t>
      </w:r>
    </w:p>
    <w:p>
      <w:r>
        <w:t>unbedingte Replikrecht , erstreckt sich auch auf Rechtsbereiche, die als solche nicht unter Art. 6 EMRK fallen ( BGE 138 I 154 E. 2.3.3 ; 133 I 100 E. 4.5 und 4.6).</w:t>
      </w:r>
    </w:p>
    <w:p>
      <w:r>
        <w:rPr>
          <w:b/>
        </w:rPr>
        <w:t>E. 2.2.2</w:t>
      </w:r>
    </w:p>
    <w:p>
      <w:r>
        <w:t>Der Wahrung des Gehörsanspruchs kommt indes kein Selbstzweck zu. Sofern nicht ersichtlich ist, dass und inwiefern die Gehörsverletzung sich auf das Verfahren hätte auswirken können, besteht keinerlei Anlass zur Aufhebung des gehörsverletzenden Entscheids ( BGE 143 IV 380 E. 1.4.1; Urteil 4A_428/2020 vom 1. April 2021 E. 3.1, nicht publ. in: BGE 147 III 419 ). Ist die erforderliche Kausalität aber gegeben, ist unter Umständen die Möglichkeit einer Heilung des verletzten Gehörsanspruchs durch die angerufene Oberinstanz zu prüfen. Die Heilung hat aber die Ausnahme zu bleiben. Was namentlich die (ausnahmsweise) Heilung im bundesgerichtlichen Verfahrens angeht, hängt diese insbesondere davon ab, ob das Bundesgericht im fraglichen Bereich über freie Kognition ( Art. 106 Abs. 1 BGG ; vorne E. 1.2) verfügt. Dies ist grundsätzlich nur der Fall, soweit sich Fragen aus dem Bereich des eidgenössischen Rechts stellen ( BGE 146 III 97 E. 3.5.2; 142 III 48 E. 4.3 mit Hinweisen). Zudem darf es sich um keine besonders schwerwiegende Verletzung des Anspruchs auf rechtliches Gehör handeln ( BGE 144 III 394 E. 4.4 ; 133 I 201 E. 2.2).</w:t>
      </w:r>
    </w:p>
    <w:p>
      <w:r>
        <w:rPr>
          <w:b/>
        </w:rPr>
        <w:t>E. 2.2.3</w:t>
      </w:r>
    </w:p>
    <w:p>
      <w:r>
        <w:t>Selbst im Fall einer besonders schwerwiegenden Beeinträchtigung des Gehörsanspruchs ist die Sache aber nicht in jedem Fall an die Vorinstanz zurückzuweisen. Im Sinne einer Gegenausnahme sieht das Bundesgericht mitunter von der Aufhebung des gehörsverletzenden Entscheids und der Rückweisung an die Vorinstanz ab, wenn dieses Vorgehen zu einem formalistischen Leerlauf ("</w:t>
      </w:r>
    </w:p>
    <w:p>
      <w:r>
        <w:t>vaine formalité ") und damit zu einer unnötigen Verzögerung führen würde, die mit dem Interesse der betroffenen Partei an einer beförderlichen Beurteilung der Sache unvereinbar wäre (Urteil 4D_76/2020 vom 2. Juni 2021 E. 4.2, nicht publ. in: BGE 147 III 440 ; BGE 147 IV 340 E. 4.11.3; 142 II 218 E. 2.8.1 ; 137 I 195 E. 2.3.2). Die Praxis ist aber nicht ganz einheitlich, indem das Bundesgericht mitunter auch in derartigen Fällen die Rückweisung an die Vorinstanz angeordnet hat (so etwa BGE 137 I 195 E. 2.7 a.E.).</w:t>
      </w:r>
    </w:p>
    <w:p>
      <w:r>
        <w:rPr>
          <w:b/>
        </w:rPr>
        <w:t>E. 2.3.1</w:t>
      </w:r>
    </w:p>
    <w:p>
      <w:r>
        <w:t>In sachverhaltlicher Hinsicht hat die Vorinstanz in ihrer Vernehmlassung vom 11. November 2021 bestätigt, dass sie die von der ESTV am 20. Mai 2021 eingereichte Stellungnahme an die Steuerpflichtige nicht weitergeleitet habe. Der angefochtene Entscheid ist damit ergangen, ohne dass die Steuerpflichtige Gelegenheit gehabt hätte, sich zur Sichtweise der ESTV zu äussern. Der Blick in das vorinstanzliche Dossier zeigt, dass die Vernehmlassung vom 20. Mai 2021 keineswegs kurz ausgefallen ist. Sie erstreckt sich über drei dicht beschriebene Seiten, wobei die ESTV mitunter sachverhaltliche Vermutungen äussert, die einer näheren Überprüfung bedürfen.</w:t>
      </w:r>
    </w:p>
    <w:p>
      <w:r>
        <w:rPr>
          <w:b/>
        </w:rPr>
        <w:t>E. 2.3.2</w:t>
      </w:r>
    </w:p>
    <w:p>
      <w:r>
        <w:t>Es kann offenbleiben, ob überhaupt eine "besonders schwerwiegende Verletzung des Anspruchs auf rechtliches Gehör" im Sinne der bundesgerichtlichen Rechtsprechung vorliegt. Entscheidend ist hier einzig, dass es nicht Sache des Bundesgerichts sein kann, den Sachverhalt abschliessend zu überprüfen, zumal ihm in diesem Bereich keine volle Kognition zusteht ( Art. 105 Abs. 1 BGG ; vorne E. 1.4 in Verbindung mit E. 1.3). Darüber hinaus ist auch keine zeitliche Notwendigkeit ersichtlich, die zu einem unmittelbaren höchstrichterlichen Entscheid zu führen hätte: Streitbetroffen sind die Steuerperioden 2012 bis 2016 (Sachverhalt, lit. A). Die Festsetzungsverjährung wird, gestaffelt, ab dem 1. Januar 2023 eintreten ( Art. 42 Abs. 6 des Bundesgesetzes vom 12. Juni 2009 über die Mehrwertsteuer [MWSTG 2009; SR 641.20] ). Mit Blick auf die zu klärenden Rechtsfragen sollte es möglich sein, dass die Vorinstanz - nach erfolgter vollständiger Gewährung des rechtlichen Gehörs - bald einen neuen Endentscheid treffen kann.</w:t>
      </w:r>
    </w:p>
    <w:p>
      <w:r>
        <w:rPr>
          <w:b/>
        </w:rPr>
        <w:t>E. 2.4</w:t>
      </w:r>
    </w:p>
    <w:p>
      <w:r>
        <w:t>In diesem Sinne ist die Sache, in Aufhebung des angefochtenen Entscheids, an die Vorinstanz zurückzuweisen. Die Beschwerde erweist sich als begründet. Sie ist gutzuheissen.</w:t>
      </w:r>
    </w:p>
    <w:p>
      <w:r>
        <w:rPr>
          <w:b/>
        </w:rPr>
        <w:t>E. 3.1</w:t>
      </w:r>
    </w:p>
    <w:p>
      <w:r>
        <w:t>Bei diesem Ausgang des Verfahrens sind die Kosten nach dem Unterliegerprinzip der ESTV aufzuerlegen, die in ihrer Eigenschaft als Abgabegläubigerin Vermögensinteressen im Sinne von Art. 66 Abs. 4 BGG verfolgt (Art. 65 in Verbindung mit Art. 66 Abs. 1 BGG ).</w:t>
      </w:r>
    </w:p>
    <w:p>
      <w:r>
        <w:rPr>
          <w:b/>
        </w:rPr>
        <w:t>E. 3.2</w:t>
      </w:r>
    </w:p>
    <w:p>
      <w:r>
        <w:t>Die ESTV hat der Steuerpflichtigen, die sich durch ein Treuhandbüro vertreten lässt, eine angemessene Parteientschädigung auszurichten ( Art. 68 Abs. 1 BGG in Verbindung mit Art. 9 des Reglements des Bundesgerichts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