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550/2011 vom 28. November 2011</w:t>
      </w:r>
    </w:p>
    <w:p>
      <w:r>
        <w:t>Bundesgericht, 2011-11-28, DE</w:t>
      </w:r>
    </w:p>
    <w:p>
      <w:r>
        <w:rPr>
          <w:b/>
        </w:rPr>
        <w:t xml:space="preserve">Quelle: </w:t>
      </w:r>
      <w:r>
        <w:t>https://mcp.opencaselaw.ch/entscheid/bger_2C_550_2011</w:t>
      </w:r>
    </w:p>
    <w:p>
      <w:r>
        <w:t>FR: TF 2C 550/2011 du 28 novembre 2011</w:t>
      </w:r>
    </w:p>
    <w:p>
      <w:r>
        <w:t>IT: TF 2C 550/2011 del 28 novembre 2011</w:t>
      </w:r>
    </w:p>
    <w:p>
      <w:pPr>
        <w:pStyle w:val="Heading2"/>
      </w:pPr>
      <w:r>
        <w:t>Regeste</w:t>
      </w:r>
    </w:p>
    <w:p>
      <w:r>
        <w:t>Staatshaftung (Schadenersatz nach § 3 des Gesetzes des Kantons Schwyz über die Haftung des Gemeinwesens und die Verantwortlichkeit seiner Funktionäre | Staatshaftung</w:t>
      </w:r>
    </w:p>
    <w:p>
      <w:pPr>
        <w:pStyle w:val="Heading2"/>
      </w:pPr>
      <w:r>
        <w:t>Erwägungen</w:t>
      </w:r>
    </w:p>
    <w:p>
      <w:r>
        <w:rPr>
          <w:b/>
        </w:rPr>
        <w:t>E. 1</w:t>
      </w:r>
    </w:p>
    <w:p>
      <w:r>
        <w:t>Ansprüche aus Staatshaftung gelten - mit Ausnahme der Fälle der Haftung für medizinische Tätigkeit (Art. 31 Abs. 1 lit. d des Reglements vom 20. November 2006 für das Bundesgericht [BGerR; SR 173.110.131]; BGE 133 III 462 E. 2.1 S. 465 f.) - als öffentlich-rechtlich und sind vor Bundesgericht daher mit Beschwerde in öffentlich-rechtlichen Angelegenheiten ( Art. 82 ff. BGG ) geltend zu machen. Zuständig ist innerhalb des Bundesgerichts die II. öffentlich-rechtliche Abteilung, ausser für Ansprüche aus strafprozessualen Normen über Entschädigungen, wofür die strafrechtliche Abteilung zuständig ist (Art. 30 Abs. 1 lit. c Ziff. 1 BGerR; BGE 135 IV 43 E. 1.1.2 S. 46), und Ansprüche gestützt auf das Sozialversicherungsrecht, welche in der Zuständigkeit der sozialrechtlichen Abteilungen liegen ( BGE 136 II 187 ; 135 V 98 ; 134 V 138 ). Zu beachten ist sodann Art. 85 Abs. 1 lit. a BGG , wonach die Beschwerde in vermögensrechtlichen Angelegenheiten auf dem Gebiet der Staatshaftung unzulässig ist, wenn der Streitwert weniger als Fr. 30'000.-- beträgt. Im vorliegenden Fall ist der Streitwert indes höher und die Beschwerde in öffentlich-rechtlichen Angelegenheiten daher zulässig.</w:t>
      </w:r>
    </w:p>
    <w:p>
      <w:r>
        <w:rPr>
          <w:b/>
        </w:rPr>
        <w:t>E. 2.1</w:t>
      </w:r>
    </w:p>
    <w:p>
      <w:r>
        <w:t>Die Beschwerdeführerin rügt im Wesentlichen, dass nicht nur das versäumte Inkasso der Sicherheitsleistung sondern auch deren Festsetzung auf lediglich Fr. 150'000.-- ein haftungsbegründendes Fehlverhalten des Einzelrichters darstelle. Dieser hätte "auf Nummer sicher" gehen und deshalb eine Sicherheitsleistung im Umfang von Fr. 400'000.-- verlangen müssen. Der Betrag von Fr. 400'000.-- entspreche dabei der (Teil-)Zahlung, gegen welche die Beschwerdeführerin die betreffende Maschine freiwillig an die damalige Käuferschaft herausgegeben hätte. Die Festsetzung einer hinreichend hohen Sicherheitsleistung wäre im vorliegenden Fall insbesondere deshalb zwingend erforderlich gewesen, weil der Einzelrichter ohne Anhörung der Befehlsbeklagten superprovisorisch einen Eingriff in deren Eigentum angeordnet habe. Im Zusammenhang mit diesen Vorbringen behauptet die Beschwerdeführerin eine Verletzung des Rechtsgleichheitsgebotes von Art. 8 BV sowie des Anspruchs auf ein faires Verfahren und des Gebotes der Waffengleichheit i.S. von Art. 29 Abs. 1 BV und Art. 6 Ziff. 1 EMRK .</w:t>
      </w:r>
    </w:p>
    <w:p>
      <w:r>
        <w:rPr>
          <w:b/>
        </w:rPr>
        <w:t>E. 2.2</w:t>
      </w:r>
    </w:p>
    <w:p>
      <w:r>
        <w:t>Die richtige Anwendung von Bundesrecht und Völkerrecht überprüft das Bundesgericht mit freier Kognition ( Art. 95 lit. a und lit. b BGG ). Anders verhält es sich - abgesehen von hier nicht in Betracht kommenden Fällen (Art. 95 lit. c - lit. e BGG) - bei der Anwendung von kantonalem Recht; hier beschränkt sich die Überprüfungsbefugnis des Bundesgerichts darauf, ob durch die Anwendung kantonalen Rechts Bundesrecht oder Völkerrecht verletzt wird, wobei namentlich die willkürliche Anwendung kantonalen Rechts in Betracht fällt. Das Bundesgericht prüft zudem die Verletzung von Grundrechten und von kantonalem Recht nur insofern, als eine solche Rüge in der Beschwerde vorgebracht und begründet worden ist ( Art. 42 Abs. 2 und Art. 106 Abs. 2 BGG ): Die Beschwerdeführerin hat anhand der Erwägungen des angefochtenen Entscheids klar und detailliert darzulegen, inwiefern verfassungsmässige Rechte verletzt worden sein sollen ( BGE 133 III 393 E. 6 S. 397). Als Grundrechte im Sinne von Art. 106 Abs. 2 BGG gelten auch die in internationalen Menschenrechtskonventionen gewährleisteten Rechtsansprüche (VON WERDT, in: Seiler/von Werdt/Güngerich [Hrsg.], Bundesgerichtsgesetz, 2007, N 9 zu Art. 106; Urteil 9C_722/2007 vom 11. April 2008 E. 3.1).</w:t>
      </w:r>
    </w:p>
    <w:p>
      <w:r>
        <w:rPr>
          <w:b/>
        </w:rPr>
        <w:t>E. 2.3</w:t>
      </w:r>
    </w:p>
    <w:p>
      <w:r>
        <w:t>Den obenstehenden Anforderungen an Grundrechtsrügen vermögen die Vorbringen der Beschwerdeführerin nicht zu genügen. Es ist ihren Ausführungen insbesondere nicht zu entnehmen, inwiefern das angefochtene Urteil des Verwaltungsgerichts die angerufenen verfassungsmässigen Rechte verletzen bzw. überhaupt deren Schutzbereich berühren soll. Vielmehr beschränkt sich die Beschwerdeführerin darauf, darzulegen, weshalb gemäss ihrer Auffassung die Anordnung einer höheren Sicherheitsleistung durch den Einzelrichter des Bezirks Z.________ erforderlich gewesen wäre. Eine verpönte Rechtsungleichheit wird damit aber ebenso wenig aufgezeigt wie eine Verletzung des Anspruchs auf ein faires Verfahren und des Gebotes der Waffengleichheit. Dass das Verwaltungsgericht im vorliegenden Zusammenhang die Bestimmungen des kantonalen Gesetzes über die Haftung des Gemeinwesens und die Verantwortlichkeit seiner Funktionäre willkürlich angewendet und hierdurch gegen Art. 9 BV verstossen hätte, wird von der Beschwerdeführerin nicht behauptet. Ohnehin könnte aber von einer solchen (Bundes-)Rechtsverletzung der Vorinstanz nicht die Rede sein, zumal es jedenfalls nicht als geradezu willkürlich erscheint, wenn das Verwaltungsgericht davon ausging, dass die Festsetzung der Höhe der Sicherheitsleistung zumindest kein qualifiziertes haftungsbegründendes Fehlverhalten des Einzelrichters des Bezirks Z.________ darstellte: Zwar ist den Ausführungen der Beschwerdeführerin insoweit zuzustimmen, als eine Sicherheitsleistung grundsätzlich die volle Deckung des möglichen Schadens ermöglichen sollte. Unbestritten ist auch, dass die angeordnete Sicherstellung objektiv zu tief war. Wie das Verwaltungsgericht jedoch willkürfrei dargelegt hat (vgl. E. 5.5.4 f. des angefochtenen Entscheids), liegt noch keine haftungsbegründende offensichtliche Überschreitung des Schätzungsermessens vor, wenn der Einzelrichter bei der Einschätzung der Höhe dieses Schadenpotenzials nicht unbesehen auf den diesbezüglichen Standpunkt der Beschwerdeführerin (Auslieferung der betreffenden Maschine gegen eine weitere Zahlung in Höhe von Fr. 400'000.--) abstellte; vielmehr durfte er hierfür auch andere Anhaltspunkte berücksichtigen (vorliegend insbesondere die im Rahmen der Vertragserfüllung bereits geleisteten Teilzahlungen und Teillieferungen), ohne dass ihm bereits deswegen ein Missbrauch seines Ermessens vorzuwerfen wäre. Der blosse Umstand, dass sich seine Schätzung im Nachhinein als zu tief herausgestellt hat, ändert daran nichts.</w:t>
      </w:r>
    </w:p>
    <w:p>
      <w:r>
        <w:rPr>
          <w:b/>
        </w:rPr>
        <w:t>E. 3</w:t>
      </w:r>
    </w:p>
    <w:p>
      <w:r>
        <w:t>Nach dem Ausgeführten ist die Beschwerde als unbegründet abzuweisen, soweit darauf überhaupt einzutreten ist. Bei diesem Ausgang des Verfahrens trägt die Beschwerdeführerin die Kosten des bundesgerichtlichen Verfahrens ( Art. 66 Abs. 1 BGG ). Der obsiegende Bezirk Z.________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