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2C_54/2024 vom 4. Juni 2024</w:t>
      </w:r>
    </w:p>
    <w:p>
      <w:r>
        <w:t>Bundesgericht, 2024-06-04, FR</w:t>
      </w:r>
    </w:p>
    <w:p>
      <w:r>
        <w:rPr>
          <w:b/>
        </w:rPr>
        <w:t xml:space="preserve">Quelle: </w:t>
      </w:r>
      <w:r>
        <w:t>https://mcp.opencaselaw.ch/entscheid/bger_2C_54_2024</w:t>
      </w:r>
    </w:p>
    <w:p>
      <w:r>
        <w:t>FR: TF 2C_54/2024 du 4 juin 2024</w:t>
      </w:r>
    </w:p>
    <w:p>
      <w:r>
        <w:t>IT: TF 2C_54/2024 del 4 giugno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141 IV 1 consid. 1.1; 133 II 353 consid. 1 et la référence).</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déjà jugé que les aides financières, fondées sur la loi genevoise 12'938 du 30 avril 2021 relative aux aides financières extraordinaires de l'État destinées aux entreprises particulièrement touchées par la crise économique ou directement par les mesures de lutte contre l'épidémie de coronavirus pour l'année 2021 (LAFE/GE-2021), étaient des subventions au sens de l' art. 83 let . k LTF. Il a également retenu que les aides financières purement cantonales reposant sur les art. 9 et 10 LAFE/GE-2021 étaient des subventions auxquelles la législation ne donnait aucun droit (cf. arrêts 2C_59/2023 du 22 juin 2023 consid. 1.4; 2C_711/2022 du 9 décembre 2022 consid. 1.2 ss). En revanche, il a estimé que les art. 11 ss LAFE/GE-2021, qui s'appliquaient lorsque le chiffre d'affaires moyen de la société requérante, pour les années 2018 - 2019, était supérieur à 5 millions de francs, conféraient un tel droit (cf. arrêt 2C_356/2023 du 28 mars 2024 consid. 1.6).</w:t>
      </w:r>
    </w:p>
    <w:p>
      <w:r>
        <w:t>Le présent litige porte sur la loi cantonale 13089 du 7 avril 2022 relative aux aides financières extraordinaires de l'État destinées aux entreprises particulièrement touchées par la crise économique ou directement par les mesures de lutte contre l'épidémie de coronavirus, pour l'année 2022 (loi cas de rigueur 2022). Les art. 9 et 10 de cette loi ont une teneur similaire à celle des art. 9 et 10 LAFE/GE-2021 (nature potestative et budget limité) et il n'existe pas de raison de s'écarter de la jurisprudence développée en lien avec ces dernières dispositions concernant la qualification de subvention et l'existence d'un droit à celle-ci. En revanche, les art. 11 ss LAFE/GE-2021, qui portent sur les entreprises ayant un chiffre d'affaires moyen supérieur à 5 millions de francs, diffèrent de l'art. 7 al. 2 s. de la loi cas de rigueur 2022 qui porte sur le même type d'entreprise. La question de savoir si, dans ce dernier cas, la jurisprudence établie en lien avec la LAFE/GE-2021 doit également s'appliquer peut néanmoins rester ouverte. En effet, le respect des conditions de recevabilité ne ressortant pas à l'évidence de l'arrêt attaqué ou du dossier de la cause, il appartenait à la recourante d'expliquer en quoi ledit arrêt pouvait faire l'objet d'un recours en matière de droit public (cf.</w:t>
      </w:r>
    </w:p>
    <w:p>
      <w:r>
        <w:t>supra consid. 1), ce qu'elle ne fait pas.</w:t>
      </w:r>
    </w:p>
    <w:p>
      <w:r>
        <w:rPr>
          <w:b/>
        </w:rPr>
        <w:t>E. 1.3</w:t>
      </w:r>
    </w:p>
    <w:p>
      <w:r>
        <w:t>Le recours en matière de droit public est partant irrecevable, ce que la recourante semble reconnaître elle-même dans sa réplique.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La qualité pour former un recours constitutionnel subsidiaire suppose un intérêt juridique à l'annulation ou à la modification de la décision attaquée ( art. 115 let. b LTF ). En l'espèce, comme on vient de le voir, la recourante ne démontre pas disposer d'un droit à l'octroi de la subvention litigieuse (cf.</w:t>
      </w:r>
    </w:p>
    <w:p>
      <w:r>
        <w:t>supra consid. 1.2), alors qu'il lui incombait d'alléguer les éléments propres à fonder sa qualité pour recourir (cf.</w:t>
      </w:r>
    </w:p>
    <w:p>
      <w:r>
        <w:t>supra consid. 1). Elle ne dispose ainsi pas d'une position juridique protégée lui conférant la qualité pour agir au fond sous cet angle ( ATF 133 I 185 consid. 6.1).</w:t>
      </w:r>
    </w:p>
    <w:p>
      <w:r>
        <w:t>Même si elle n'a pas qualité pour agir au fond, elle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Seuls les griefs de nature formelle qui sont séparés de l'examen de la cause au fond peuvent donc être présentés. La partie recourante ne peut ainsi ni critiquer l'appréciation des preuves ni, au titre de la violation de son droit d'être entendue, se plaindre du refus d'administrer une preuve résultant de l'appréciation anticipée de celle-ci, puisque de tels griefs supposent nécessairement d'examiner, au moins dans une certaine mesure, le fond du litige lui-même (cf. ATF 136 I 323 consid. 1.2; arrêts 2C_81/2024 du 7 février 2024 consid. 5.2 et les autres références citées; 2C_107/2023 du 25 septembre 2023 consid.1.3.1).</w:t>
      </w:r>
    </w:p>
    <w:p>
      <w:r>
        <w:rPr>
          <w:b/>
        </w:rPr>
        <w:t>E. 2.2</w:t>
      </w:r>
    </w:p>
    <w:p>
      <w:r>
        <w:t>En l'occurrence, dans la mesure où la recourante invoque l'arbitraire ( art. 9 Cst. ) pour se plaindre de la constatation des faits et de l'appréciation des preuves par la Cour de justice en lien avec le respect des conditions d'octroi de l'aide financière requise, le grief revient à critiquer l'arrêt attaqué sur le fond et est partant irrecevable. Il en va de même en tant qu'elle se prévaut de la violation de son droit d'être entendue ( art. 29 al. 2 Cst. ) pour se plaindre du refus des juges précédents, au terme d'une appréciation anticipée des preuves, de procéder à des mesures probatoires relatives à l'octroi de ladite aide. La recourante ne peut pas non plus se plaindre de manière indépendante de la violation du principe d'arbitraire puisque ce principe ne fonde pas une position juridique protégée invocable dans le cadre d'un recours constitutionnel subsidiaire ( ATF 147 I 189 consid. 1.2.1; 133 I 185 consid. 6; arrêt 2C_490/2022 du 7 mars 2023 consid. 2.2) et qu'un tel examen nécessiterait de se pencher sur le fond.</w:t>
      </w:r>
    </w:p>
    <w:p>
      <w:r>
        <w:t>La recourante n'invoque pas non plus de violation de ses droits de partie équivalant à un déni de justice formel, de sorte qu'elle ne mentionne aucun droit constitutionnel de nature procédurale qui lui ouvrirait la voie du recours constitutionnel subsidiaire sous cet angle-là. Elle reproche certes aux autorités cantonales précédentes d'avoir fait preuve d'un formalisme excessif en refusant de lui accorder l'aide requise au motif qu'elle n'était ni propriétaire du fond de commerce, ni titulaire du bail, ni encore exploitante du restaurant. Un tel grief relève toutefois de l'application des normes juridiques régissant le fond du litige, non de la violation d'un éventuel droit constitutionnel procédural.</w:t>
      </w:r>
    </w:p>
    <w:p>
      <w:r>
        <w:t>En revanche, le droit à la protection de la bonne foi ( art. 9 Cst. ), invoqué par la recourante en lien avec la faculté pour celle-ci d'exploiter le restaurant et de requérir des aides pour cas de rigueur en lien avec celui-ci, est susceptible de lui conférer un intérêt juridiquement protégé ouvrant la voie du recours constitutionnel subsidiaire (cf. arrêts 2D_10/2023 du 20 juin 2023 consid. 3.3; 2C_638/2007 du 7 avril 2008 consid. 3.5). Ainsi, le grief de violation de ce droit formulé par la recourante est recevable, dans son principe, sous l'angle de l' art. 115 let. b LTF .</w:t>
      </w:r>
    </w:p>
    <w:p>
      <w:r>
        <w:rPr>
          <w:b/>
        </w:rPr>
        <w:t>E. 2.3</w:t>
      </w:r>
    </w:p>
    <w:p>
      <w:r>
        <w:t>Pour le surplus, les autres conditions de recevabilité du recours constitutionnel subsidiaire sont remplies, de sorte qu'il y a lieu d'entrer en matière ( art. 42, 46 al. 1 let . c, 90, 86 al. 1 let. d et 2, 89, 100 al. 1 et 114 et 117 LTF), sous réserve de ce qui suit.</w:t>
      </w:r>
    </w:p>
    <w:p>
      <w:r>
        <w:rPr>
          <w:b/>
        </w:rPr>
        <w:t>E. 2.4</w:t>
      </w:r>
    </w:p>
    <w:p>
      <w:r>
        <w:t>L'objet de la contestation porté devant le Tribunal fédéral est déterminé par l'arrêt attaqué. L'objet du litige, délimité par les conclusions des parties ( art. 107 al. 1 LTF ), ne saurait s'étendre au-delà de l'objet de la contestation ( ATF 142 I 155 consid. 4.4.2 et les références). En l'occurrence, l'arrêt attaqué porte uniquement au fond sur le refus d'octroyer à la recourante une aide financière pour cas de rigueur pour la période du 1</w:t>
      </w:r>
    </w:p>
    <w:p>
      <w:r>
        <w:t>er janvier au 31 mars 2022 en lien avec le restaurant (réf.: xxx) et non sur la requête déposée pour le compte de G.________ SA (réf.: yyy), dont le sort n'avait pas été critiqué dans la réclamation déposée auprès de la Direction générale. La recourante n'invoque pas un déni de justice à cet égard. Dans la mesure où le recours, sur le fond, sort de l'objet de la contestation et donc du litige (sur ces notions; cf. ATF 144 II 359 consid. 4.3), il est irrecevable.</w:t>
      </w:r>
    </w:p>
    <w:p>
      <w:r>
        <w:rPr>
          <w:b/>
        </w:rPr>
        <w:t>E. 3</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en avec l' art. 116 LTF ), ce que le recourant doit démontrer d'une manière circonstanciée et précise, conformément aux exigences de motivation posées à l' art. 106 al. 2 LTF (par renvoi de l' art. 117 LTF ; ATF 147 IV 73 consid. 4.1.2). Aucun fait nouveau ni preuve nouvelle ne peut être présenté à moins de résulter de la décision de l'autorité précédente ( art. 99 al. 1 LTF par renvoi de l' art. 117 LTF ). Partant, il ne sera pas tenu compte de la fiche de contrôle du 8 décembre 2023, jointe au recours, qui est postérieure à l'arrêt attaqué.</w:t>
      </w:r>
    </w:p>
    <w:p>
      <w:r>
        <w:rPr>
          <w:b/>
        </w:rPr>
        <w:t>E. 4</w:t>
      </w:r>
    </w:p>
    <w:p>
      <w:r>
        <w:t>La recourante se prévaut de la protection de la bonne foi, en lien avec l'interdiction de l'arbitraire, en faisant valoir que le Service cantonal, "en proposant la structure mise en place pour le groupe "H.________"" lui avait donné l'assurance, ainsi qu'à C.C.________ et D.C.________, qu'elle exploitait le restaurant en toute légalité.</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148 II 233 consid. 5.5.1 et les références; 141 V 530 consid. 6.2).</w:t>
      </w:r>
    </w:p>
    <w:p>
      <w:r>
        <w:rPr>
          <w:b/>
        </w:rPr>
        <w:t>E. 4.2</w:t>
      </w:r>
    </w:p>
    <w:p>
      <w:r>
        <w:t>Dans l'arrêt attaqué, la Cour de justice retient en substance que C.C.________ et D.C.________, qui étaient détenteurs du diplôme nécessaire à l'exploitation d'un restaurant, de même que la société, qui était assistée d'un avocat, ne pouvaient pas ignorer les démarches indispensables à effectuer en cas de mise en gérance d'un établissement, comme le devoir d'annoncer au préalable cette opération au Département et de remplir le formulaire G "Changement de propriétaire", lequel aurait dû être signé par l'exploitant, la propriétaire, soit B.________ SA, et la gérante (consid. 5.4, en lien avec 5.2). La Cour de justice a également relevé que "la recourante avait signé le 2 août 2022 une convention avec l'État, par laquelle elle [avait] confirmé avoir présenté une image fidèle et transparente de sa situation, et qu'aucun fait ou information importants en relation avec la marche des affaires et sa situation financière n'[avaient] été omis ou inexactement déclarés". Selon elle, "en se prévalant désormais d'un contrat "tacite" permettant d'occulter l'identité du gérant effectif des établissements pour lesquels elle [requérait] des aides extraordinaires, la société ne [respectait] pas le principe de la bonne foi auquel elle est aussi tenue" (consid. 5.4).</w:t>
      </w:r>
    </w:p>
    <w:p>
      <w:r>
        <w:rPr>
          <w:b/>
        </w:rPr>
        <w:t>E. 4.3</w:t>
      </w:r>
    </w:p>
    <w:p>
      <w:r>
        <w:t>L'appréciation de la Cour de justice ne prête pas le flanc à la critique. En effet, il ressort des faits de l'arrêt attaqué que la décision du 19 mai 2017 rendue par le Service cantonal indiquait clairement que B.________ SA était la propriétaire du restaurant en cause et que celle-ci avait désigné C.C.________ comme étant l'exploitant de l'établissement. Les allégations de la recourante, selon lesquelles le Service cantonal lui aurait laissé entendre qu'elle était en droit d'exploiter l'établissement, même dans l'hypothèse où elles seraient avérées, ne lui sont d'aucun secours. En effet, la société, qui était de plus assistée d'un mandataire professionnel, ne pouvait pas ignorer que le système proposé ne remplissait pas les exigences légales. A cet égard, l'art. 23 al. 4 LRDBHD prévoit que tout changement de propriétaire doit être annoncé sans délai et par écrit au département et l'art. 39 du règlement cantonal du 28 octobre 2015 d'exécution de la loi sur la restauration, le débit de boissons, l'hébergement et le divertissement (RRDBHD; RS/GE I 2 22.01) indique, entre autres, qu'en cas de contrat de gérance, le propriétaire au sens de la loi est le gérant (al. 2), que tout changement de propriétaire doit être immédiatement communiqué par écrit au service (al. 6) et que le changement de propriétaire entraîne la nécessité de requérir une nouvelle autorisation d'exploiter (al. 7). L'assurance prétendument reçue ne pouvait ainsi pas être considérée comme une nouvelle autorisation désignant la recourante comme gérante du restaurant et venant remplacer celle du 19 mai 2017.</w:t>
      </w:r>
    </w:p>
    <w:p>
      <w:r>
        <w:t>A tout le moins, dans les présentes circonstances, la bonne foi ( art. 5 al. 2 Cst. ) imposait à la recourante de se renseigner auprès du Service cantonal sur la portée de l'"assurance reçue" dans le cadre d'une demande pour cas de rigueur en lien avec le coronavirus, notamment lorsqu'il s'est agi de remplir les rubriques "propriétaire" et "exploitant" de l'établissement soumis à la LRDBHD du formulaire de demande de cas de rigueur.</w:t>
      </w:r>
    </w:p>
    <w:p>
      <w:r>
        <w:t>Comme le relève l'autorité précédente, le fait que la recourante avait pu précédemment obtenir d'importantes aides est sans pertinence puisqu'aucun élément ne laisse supposer que le Département savait que la recourante ne bénéficiait d'aucune autorisation, ni que celui-ci lui aurait donné des garanties ou des informations inexactes. Ces faits constatés par l'autorité précédente, qui ne sont pas contestés par la recourante sous l'angle de l'arbitraire, lient le Tribunal fédéral (cf.</w:t>
      </w:r>
    </w:p>
    <w:p>
      <w:r>
        <w:t>supra consid. 3).</w:t>
      </w:r>
    </w:p>
    <w:p>
      <w:r>
        <w:t>Enfin, la recourante n'explique pas quelles dispositions elle aurait prises sur la base de l'"assurance reçue", auxquelles elle ne pourrait renoncer sans subir de préjudice.</w:t>
      </w:r>
    </w:p>
    <w:p>
      <w:r>
        <w:t>Il découle de ce qui précède que les conditions cumulatives permettant de se prévaloir de la protection de la bonne foi issue de l' art. 9 Cst. ne sont clairement pas remplies. Le grief est infondé.</w:t>
      </w:r>
    </w:p>
    <w:p>
      <w:r>
        <w:rPr>
          <w:b/>
        </w:rPr>
        <w:t>E. 5</w:t>
      </w:r>
    </w:p>
    <w:p>
      <w:r>
        <w:t>Le recours en matière de droit public est ainsi irrecevable et le recours constitutionnel subsidiaire doit être rejeté dans la mesure de sa recevabilité.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