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54/2012 vom 23. Juli 2012</w:t>
      </w:r>
    </w:p>
    <w:p>
      <w:r>
        <w:t>Bundesgericht, 2012-07-23, FR</w:t>
      </w:r>
    </w:p>
    <w:p>
      <w:r>
        <w:rPr>
          <w:b/>
        </w:rPr>
        <w:t xml:space="preserve">Quelle: </w:t>
      </w:r>
      <w:r>
        <w:t>https://mcp.opencaselaw.ch/entscheid/bger_2C_54_2012</w:t>
      </w:r>
    </w:p>
    <w:p>
      <w:r>
        <w:t>FR: TF 2C 54/2012 du 23 juillet 2012</w:t>
      </w:r>
    </w:p>
    <w:p>
      <w:r>
        <w:t>IT: TF 2C 54/2012 del 23 luglio 2012</w:t>
      </w:r>
    </w:p>
    <w:p>
      <w:pPr>
        <w:pStyle w:val="Heading2"/>
      </w:pPr>
      <w:r>
        <w:t>Regeste</w:t>
      </w:r>
    </w:p>
    <w:p>
      <w:r>
        <w:t>Autorisation d'établissement | Droit de cité et droit des étrangers</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car 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présent recours en matière de droit public est en principe recevable.</w:t>
      </w:r>
    </w:p>
    <w:p>
      <w:r>
        <w:rPr>
          <w:b/>
        </w:rPr>
        <w:t>E. 2</w:t>
      </w:r>
    </w:p>
    <w:p>
      <w:r>
        <w:t>Saisi d'un recours en matière de droit public, le Tribunal fédéral examine librement la violation du droit fédéral et du droit international (cf. art. 95 let. a et b ainsi que 106 al. 1 LTF),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3</w:t>
      </w:r>
    </w:p>
    <w:p>
      <w:r>
        <w:t>Le recourant invoque en premier lieu une violation de son droit d'être entendu ( art. 29 al. 2 Cst. ), reprochant aux juges cantonaux de ne pas avoir donné suite à des mesures d'instruction et d'avoir constaté les faits d'une manière inexacte et incomplète contraire à l' art. 9 Cst.</w:t>
      </w:r>
    </w:p>
    <w:p>
      <w:r>
        <w:rPr>
          <w:b/>
        </w:rPr>
        <w:t>E. 3.1</w:t>
      </w:r>
    </w:p>
    <w:p>
      <w:r>
        <w:t>La jurisprudence a déduit de l' art. 29 al. 2 Cst. , notamment, le droit pour le justiciable d'obtenir qu'il soit donné suite à ses offres de preuves pertinentes ( ATF 132 V 368 consid. 3.1 p. 370).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136; 134 I 140 consid. 5.3 p. 148).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3.2</w:t>
      </w:r>
    </w:p>
    <w:p>
      <w:r>
        <w:t>Le recourant reproche au Tribunal cantonal de n'avoir pas donné suite à ses requêtes tendant à la production d'un rapport actualisé de son comportement en détention, à l'établissement de son risque actuel de récidive et à l'audition de son épouse.</w:t>
      </w:r>
    </w:p>
    <w:p>
      <w:r>
        <w:rPr>
          <w:b/>
        </w:rPr>
        <w:t>E. 3.2.1</w:t>
      </w:r>
    </w:p>
    <w:p>
      <w:r>
        <w:t>Contrairement à ce que soutient le recourant, l'arrêt attaqué mentionne que le Service pénitentiaire, dans un courrier du 24 novembre 2010, a souligné que son comportement général en détention était " tout à fait adéquat ", ce qui a permis à l'intéressé de bénéficier d'un régime de travail externe, associé, depuis le 9 août 2011, à un régime de logement externe. Partant, le recourant n'étant plus détenu, on ne voit pas en quoi un rapport actualisé de son comportement en détention serait pertinent. Par ailleurs, le régime d'exécution de peine avec travail et logement externes est un élément qui a été pris en compte en faveur du recourant.</w:t>
      </w:r>
    </w:p>
    <w:p>
      <w:r>
        <w:rPr>
          <w:b/>
        </w:rPr>
        <w:t>E. 3.2.2</w:t>
      </w:r>
    </w:p>
    <w:p>
      <w:r>
        <w:t>En ce qui concerne le risque de récidive, les juges cantonaux ont retenu que celui-ci ne saurait être exclu, tout en soulignant qu'il ne constituait qu'un facteur à prendre en considération dans la pesée des intérêts en présence. Or, tant l'expert judiciaire qui s'est prononcé en 2008, que les juges pénaux dans leurs décisions d'octobre 2009 et avril 2010 ont tous retenu un risque de récidive, le qualifiant tantôt de grand, tantôt de patent, relevant en outre que le recourant ne se conformait à aucune norme sociale et que, s'il n'évoluait pas, il demeurerait un danger public. En pareilles circonstances, on ne voit pas que l'arrêt attaqué retienne de manière insoutenable l'existence d'un risque de récidive. Quant à procéder à des mesures d'instruction pour actualiser ce risque, les juges pouvaient sans arbitraire y renoncer, puisque la dernière évaluation date de 2010 et qu'ils ont surtout relativisé l'importance de ce facteur lorsqu'ils ont procédé à la pesée des intérêts en présence. Toujours en relation avec le risque de récidive, le recourant reproche aussi aux premiers juges de ne pas avoir tenu compte du traitement psychiatrique qu'il aurait entrepris et du rapport produit en procédure cantonale, qui fait état d'une remise en question relative à son histoire de vie et à son rôle de mari et père. Ce faisant, il semble lui avoir échappé que l'arrêt attaqué fait état d'un suivi psychiatrique attestant d'une prise de conscience du recourant. C'est toutefois sans arbitraire que les juges ont tempéré cet élément en se fondant sur l'expertise psychiatrique, qui définit le recourant comme " extrêmement manipulateur ", ainsi que sur le jugement de la Cour de cassation pénale, qui a relevé le peu de repentir que celui-ci avait manifesté des actes commis, sa propension à minimiser ses agressions voire à les contester et le fait qu'il avait dû subir 443 jours de détention avant de présenter des excuses à ses victimes.</w:t>
      </w:r>
    </w:p>
    <w:p>
      <w:r>
        <w:rPr>
          <w:b/>
        </w:rPr>
        <w:t>E. 3.2.3</w:t>
      </w:r>
    </w:p>
    <w:p>
      <w:r>
        <w:t>Enfin, le Tribunal cantonal a raisonné en admettant que des liens étroits liaient le recourant à son épouse et à sa fille. Le fait qu'il ait par ailleurs émis des doutes sur l'effectivité de ces liens n'est donc pas de nature à modifier le résultat de l'arrêt attaqué. Partant, en ne procédant pas à l'audition de l'épouse, les juges n'ont violé ni l'art. 9, ni 29 al. 2 Cst.</w:t>
      </w:r>
    </w:p>
    <w:p>
      <w:r>
        <w:rPr>
          <w:b/>
        </w:rPr>
        <w:t>E. 3.3</w:t>
      </w:r>
    </w:p>
    <w:p>
      <w:r>
        <w:t>Le recourant considère que son degré d'intégration en Suisse a été établi de façon manifestement inexacte, dès lors qu'actuellement il dispose d'un travail stable, qu'il s'est bien comporté en détention et qu'il aurait produit des pièces le décrivant comme quelqu'un de poli, courtois et parfaitement intégré. Ce faisant, il perd de vue qu'il ne suffit pas, pour établir l'arbitraire, de présenter sa propre appréciation et quelques déclarations favorables, mais qu'il faut parvenir à démontrer que la position de l'autorité cantonale est insoutenable. Tel n'est manifestement pas le cas. En effet, en présence d'une personne qui, hormis son comportement pénal, n'a pas achevé de formation, n'a exercé que des emplois précaires, entrecoupés de périodes d'inactivité, a bénéficié de l'aide sociale à raison de plus de 94'000 fr. et a des dettes pour 40'000 fr., il n'est à l'évidence pas arbitraire de considérer, à l'instar de la Cour cantonale, qu'un tel individu ne présente pas un haut degré d'intégration en Suisse. Son comportement en détention est certes positif, mais ne signifie pas une intégration réussie dans la société.</w:t>
      </w:r>
    </w:p>
    <w:p>
      <w:r>
        <w:rPr>
          <w:b/>
        </w:rPr>
        <w:t>E. 3.4</w:t>
      </w:r>
    </w:p>
    <w:p>
      <w:r>
        <w:t>Enfin, le recourant se plaint d'une appréciation erronée des faits en relation avec les conséquences d'un retour au Kosovo. Selon l'arrêt attaqué, l'intéressé semble parler et écrire la langue de ce pays, de sorte que son intégration au marché du travail n'apparaît pas irrémédiablement compromise. En outre, ne disposant pas de formation professionnelle achevée en Suisse, son renvoi ne le priverait pas d'un niveau de vie supérieur à celui qu'il pouvait acquérir en Suisse. Le recourant ne conteste pas ces constatations, mais reproche seulement aux juges de n'avoir pas suffisamment tenu compte des difficultés en cas de retour dans son pays. Ce point ne relève pas de l'arbitraire dans l'établissement des faits, mais de la pesée des intérêts qui sera examinée ci-après.</w:t>
      </w:r>
    </w:p>
    <w:p>
      <w:r>
        <w:rPr>
          <w:b/>
        </w:rPr>
        <w:t>E. 4</w:t>
      </w:r>
    </w:p>
    <w:p>
      <w:r>
        <w:t>Sur le fond, le recourant invoque une violation de l' art. 8 CEDH et 62 ss LEtr, considérant que l'arrêt attaqué viole la proportionnalité.</w:t>
      </w:r>
    </w:p>
    <w:p>
      <w:r>
        <w:rPr>
          <w:b/>
        </w:rPr>
        <w:t>E. 4.1</w:t>
      </w:r>
    </w:p>
    <w:p>
      <w:r>
        <w:t>Une autorisation d'établissement d'un étranger qui séjourne en Suisse légalement et sans interruption depuis plus de quinze ans ne peut être révoquée que si l'étranger attente de manière très grave à la sécurité en Suisse, la met en danger, ou si l'étranger a été condamné à une peine privative de liberté de longue durée (art. 63 al. 2 LEtr, en relation avec les art. 63 al. 1 let. b et 62 let. b LEtr). Une peine privative de liberté est considérée de longue durée au sens de l'art. 62 let. b LEtr lorsqu'elle atteint une durée supérieure à un an ( ATF 137 II 297 consid. 2.3.6 p. 302; 135 II 377 consid. 4.2 p. 379). Attente de manière très grave à l'ordre public ou le met en danger l'étranger dont les actes lèsent ou compromettent des biens juridiques particulièrement importants, tels que l'intégrité corporelle, physique ou sexuelle ( ATF 137 II 297 consid. 3.3 p. 303). En l'espèce, le recourant a été condamné à des peines privatives de liberté de quatre ans en 2009, puis d'un an en 2010. Celles-ci réprimaient notamment des actes de violence grave, en particulier des agressions physiques sur des membres de sa famille proche et des tiers de manière gratuite. Par conséquent, le recourant remplit à l'évidence les deux cas de figure permettant de révoquer son autorisation d'établissement au sens de l'art. 63 al. 2 LEtr.</w:t>
      </w:r>
    </w:p>
    <w:p>
      <w:r>
        <w:rPr>
          <w:b/>
        </w:rPr>
        <w:t>E. 4.2</w:t>
      </w:r>
    </w:p>
    <w:p>
      <w:r>
        <w:t>La révocation de l'autorisation d'établissement ne se justifie que si la pesée des intérêts à effectuer dans le cas d'espèce fait apparaître la mesure comme proportionnée (cf. art. 96 LEtr; arrêt 2C_655/2011 du 7 février 2012 consid. 10.1). Dans le cadre de cette pesée d'intérêts, il y a notamment lieu de prendre en compte la durée du séjour en Suisse, l'âge d'arrivée dans ce pays, les relations sociales, familiales et professionnelles, le niveau d'intégration et les conséquences d'un renvoi de l'intéressé. L'autorisation d'établissement d'un étranger qui réside de longue date en Suisse ne peut être révoquée qu'avec retenue. En cas d'activité pénale grave ou répétée, une telle révocation n'est toutefois pas exclue, même si l'étranger est né en Suisse ou y a passé presque toute son existence (arrêt 2C_839/2011 du 28 février 2012 consid. 2.3; arrêt 2C_562/2011 du 21 novembre 2011 consid. 3.3). En présence d'infractions pénales graves et de récidive, respectivement lors de délinquance persistante, il existe en général un intérêt public important à mettre un terme à la présence de l'étranger en Suisse dans la mesure où ce type de comportement porte atteinte à la sécurité et à l'ordre publics (arrêts 2C_980/2011 du 22 mars 2012 consid. 3.4; 2C_839/2011 du 28 février 2012 consid. 2.3; consid. 3.1 non publié de l' ATF 137 II 233 consid. 3.1).</w:t>
      </w:r>
    </w:p>
    <w:p>
      <w:r>
        <w:rPr>
          <w:b/>
        </w:rPr>
        <w:t>E. 4.3</w:t>
      </w:r>
    </w:p>
    <w:p>
      <w:r>
        <w:t>La question de savoir si le recourant peut aussi se prévaloir de l' art. 8 CEDH est indécise, car le Tribunal cantonal a laissé ouverte la question de l'effectivité des relations du recourant avec son épouse et sa fille, condition indispensable pour bénéficier de la protection offerte par l' art. 8 par. 1 CEDH ( ATF 129 II 193 consid. 5.3 p. 211). Ce point n'a pas à être examiné plus avant. Dès lors qu'une ingérence dans l'exercice du droit au respect de la vie privée et familiale est néanmoins possible selon l' art. 8 par. 2 CEDH et que la pesée globale des intérêts commandée par cette disposition est analogue à celle requise par l'art. 96 al. 1 LEtr (cf. ATF 135 I 143 consid. 2.1 p. 147; arrêt 2C_655/2011 du 7 février 2012 consid. 10.2), savoir si le recourant peut ou non se prévaloir de l' art. 8 CEDH est en l'espèce sans incidence sur l'examen de la proportionnalité de la mesure.</w:t>
      </w:r>
    </w:p>
    <w:p>
      <w:r>
        <w:rPr>
          <w:b/>
        </w:rPr>
        <w:t>E. 4.4</w:t>
      </w:r>
    </w:p>
    <w:p>
      <w:r>
        <w:t>La décision querellée, aux considérants de laquelle il peut être renvoyé, est conforme à la pratique du Tribunal fédéral. L'instance précédente a procédé à une pesée des intérêts en présence qui n'est pas critiquable au regard des art. 96 al. 1 LEtr et 8 par. 2 CEDH. Au vu de la gravité des faits reprochés au recourant et de sa persistance à ne pas respecter l'ordre juridique suisse, le maintien du droit de demeurer en Suisse ne pouvait se justifier qu'en présence de circonstances tout à fait particulières, qui font manifestement défaut en l'espèce. En effet, le recourant a certes sa famille proche en Suisse, mais il a commis des actes graves à son encontre. Même si l'on admet que la communauté conjugale avec son épouse n'est pas rompue, ce seul élément n'est pas déterminant pour lui permettre de résider en Suisse, dès lors que son épouse, également ressortissante du Kosovo, est arrivée en Suisse en 2005. Quant à sa fille née en 2006, elle est en âge de s'adapter facilement si l'épouse décide de retourner avec le recourant dans leur pays d'origine commun. Comme l'a retenu sans arbitraire l'autorité cantonale, le recourant, qui n'a pas de formation, qui a dépendu de l'aide sociale pendant des années et a contracté des dettes pour se divertir, ne possède à l'évidence pas un haut degré d'intégration en Suisse (cf. supra consid. 3.3). Si son retour au Kosovo ne sera pas facile, dès lors que le recourant vit en Suisse depuis sa petite enfance, il n'apparaît toutefois pas qu'il doive quitter un pays où il possède une situation stable pour se rendre dans un lieu où une intégration paraît d'emblée compromise. Certes, le recourant s'est bien comporté en prison et a bénéficié d'un régime de travail et de séjour externes; il a en outre entrepris une thérapie l'amenant à réfléchir à son comportement. Ces éléments positifs ne constituent cependant pas des circonstances particulières de nature à contre-balancer les actes graves de violence gratuite qui lui sont reprochés et le risque que son maintien en Suisse représente pour l'ordre public. Le recourant ne démontre d'ailleurs aucun élément déterminant qui aurait échappé aux autorités dans la pesée des intérêts. Celui-ci se contente de présenter de manière appellatoire sa propre appréciation de son comportement et fonde son raisonnement sur sa très grande intégration en Suisse, qui ne saurait être retenue au vu des faits constatés dans l'arrêt attaqué. En pareilles circonstances, le recours ne peut qu'être rejeté.</w:t>
      </w:r>
    </w:p>
    <w:p>
      <w:r>
        <w:rPr>
          <w:b/>
        </w:rPr>
        <w:t>E. 5</w:t>
      </w:r>
    </w:p>
    <w:p>
      <w:r>
        <w:t>Au vu de l'issue du recours,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