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2C_548/2018 vom 3. August 2018</w:t>
      </w:r>
    </w:p>
    <w:p>
      <w:r>
        <w:t>Bundesgericht, 2018-08-03, DE</w:t>
      </w:r>
    </w:p>
    <w:p>
      <w:r>
        <w:rPr>
          <w:b/>
        </w:rPr>
        <w:t xml:space="preserve">Quelle: </w:t>
      </w:r>
      <w:r>
        <w:t>https://mcp.opencaselaw.ch/entscheid/bger_2C_548_2018</w:t>
      </w:r>
    </w:p>
    <w:p>
      <w:r>
        <w:t>FR: TF 2C_548/2018 du 3 août 2018</w:t>
      </w:r>
    </w:p>
    <w:p>
      <w:r>
        <w:t>IT: TF 2C_548/2018 del 3 agosto 2018</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93 Abs. 1 lit. a und Art. 100 Abs. 1 BGG in Verbindung mit Art. 146 DBG [SR 642.11]).</w:t>
      </w:r>
    </w:p>
    <w:p>
      <w:r>
        <w:rPr>
          <w:b/>
        </w:rPr>
        <w:t>E. 1.2</w:t>
      </w:r>
    </w:p>
    <w:p>
      <w:r>
        <w:t>Das Bundesgericht prüft das Bundesrecht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aber nur die geltend gemachten Rügen ( BGE 142 V 2 E. 2 S. 5), es sei denn, die rechtlichen Mängel lägen geradezu auf der Hand ( BGE 142 I 99 E. 1.7.1 S. 106).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II 283 E. 1.2.2 S. 286).</w:t>
      </w:r>
    </w:p>
    <w:p>
      <w:r>
        <w:rPr>
          <w:b/>
        </w:rPr>
        <w:t>E. 1.4</w:t>
      </w:r>
    </w:p>
    <w:p>
      <w:r>
        <w:t>Das Bundesgericht legt seinem Urteil grundsätzlich den Sachverhalt zugrunde, den die Vorinstanz festgestellt hat ( Art. 105 Abs. 1 BGG ; BGE 143 IV 500 E. 1.1 S. 503). Die Sachverhaltskontrolle ist auf "offensichtlich unrichtige" Feststellungen begrenzt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1.3).</w:t>
      </w:r>
    </w:p>
    <w:p>
      <w:r>
        <w:rPr>
          <w:b/>
        </w:rPr>
        <w:t>E. 2.1</w:t>
      </w:r>
    </w:p>
    <w:p>
      <w:r>
        <w:t>Streitig und zu prüfen sind die Aufrechnungen von Fr. 66'625.-- (Geschäftsverlust 2011; hinten E. 2.2) bzw. von Fr. 81'107.-- (Liquidationsgewinn; hinten E. 2.3).</w:t>
      </w:r>
    </w:p>
    <w:p>
      <w:r>
        <w:rPr>
          <w:b/>
        </w:rPr>
        <w:t>E. 2.2.1</w:t>
      </w:r>
    </w:p>
    <w:p>
      <w:r>
        <w:t>Die Vorinstanz würdigt namentlich die in den Steuerperioden 2003 bis 2013 eingetretenen Verluste aus der nebenberuflichen landwirtschaftlichen Tätigkeit des Ehemannes sowie die Ertragslage, wie sie sich in der streitbetroffenen Steuerperiode darstellte. Mit Blick auf die betriebswirtschaftliche Sachlage und die zeitliche Beanspruchung des Ehemannes erkennt die Vorinstanz, in der streitbetroffenen Steuerperiode 2011 sei von Liebhaberei auszugehen (Sachverhalt, lit. C).</w:t>
      </w:r>
    </w:p>
    <w:p>
      <w:r>
        <w:rPr>
          <w:b/>
        </w:rPr>
        <w:t>E. 2.2.2</w:t>
      </w:r>
    </w:p>
    <w:p>
      <w:r>
        <w:t>Die Steuerpflichtigen halten dem im bundesgerichtlichen Verfahren zunächst entgegen, in den Jahren 2006 bis 2013 sei, abgesehen von den Jahren 2008 und 2012, in Wahrheit durchwegs ein Gewinn angefallen. Nach "Gesetz, Lehre und Praxis" seien "vom Erwerbseinkommen jedenfalls der Liegenschaftsunterhalt und die Hypothekarzinsen" abzuziehen. Wie diese rechtliche Darlegung genau zu verstehen ist, bleibt unklar. Denkbar ist, dass die Auffassung vertreten wird, innerhalb des Geschäftsvermögens seien zwei Sparten (Betrieb und Grundstücke) zu bilden, möglicherweise meinen die Steuerpflichtigen aber, die grundstückbezogenen Aufwände seien, obwohl auf dem Geschäftsvermögen angefallen, dem Privatvermögen zuzurechnen. Für beides findet sich im Gesetz keine Grundlage. Gegenteils sieht Art. 18 Abs. 2 Satz 3 Halbsatz 1 DBG ausdrücklich vor, dass das Geschäftsvermögen aus den Vermögenswerten besteht, die "ganz oder vorwiegend der selbständigen Erwerbstätigkeit dienen". Eine Spartenbildung wäre zulässig, soweit tatsächlich zwei unterschiedliche operative Betriebe geführt werden (beispielsweise Landwirtschaft einerseits, gewerbsmässiger Grundstückhandel anderseits). Letztlich würden aber auch diese als Summe in die Steuererklärung einfliessen. An zwei oder mehreren Sparten fehlt es aber offenkundig. Mit andern Worten ist es nicht bundesrechtswidrig, wenn die Vorinstanz von der "Einheit des Unternehmens" ausgeht. Daraus folgt, dass in den beobachteten Steuerperioden jeweils ein einheitliches Ergebnis zu bilden war. Dieses schloss nach den für das Bundesgericht verbindlichen Darlegungen der Vorinstanz durchwegs mit Verlusten ab (Sachverhalt, lit. C).</w:t>
      </w:r>
    </w:p>
    <w:p>
      <w:r>
        <w:rPr>
          <w:b/>
        </w:rPr>
        <w:t>E. 2.2.3</w:t>
      </w:r>
    </w:p>
    <w:p>
      <w:r>
        <w:t>Die Steuerpflichtigen ergänzen, sie hätten in der Vergangenheit ganz erheblich in den Betrieb investiert. Sie nennen einen Betrag von Fr. 538'877.--, der aktiviert worden sein soll, nebst Gebäudeunterhalt von Fr. 264.500.--. Folglich hätten sie in den Jahren 2006 bis 2013 durchschnittlich etwa Fr. 100'000.-- aufgewendet. Dies spreche mit deutlichen Worten für die vorhandene Gewinnstrebigkeit. Es ist den Steuerpflichtigen entgegenzuhalten, dass dem vorinstanzlichen Entscheid zu den wertvermehrenden und werterhaltenden Aufwendungen keinerlei Angaben zu entnehmen sind, weshalb es sich bei den Vorbringen verfahrensrechtlich um unzulässige Noven handelt ( Art. 99 Abs. 1 BGG ; BGE 144 IV 35 E. 2.1 S. 40). Vorinstanzlich festgestellt sind vielmehr die Verluste und die Ertragslage, wie sie im streitbetroffenen Jahr 2011 bestand (Ertrag aus Obst und Pflanzenbau von Fr. 6'170.--). Wenn die Vorinstanz zur einzig streitbetroffenen Steuerperiode 2011 beweiswürdigend erkannte, beide für die selbständige Erwerbstätigkeit erforderlichen Tatbestandselemente (Gewinngeeignetheit und Gewinnstrebigkeit) fehlten, so ist dies weder verfassungsrechtlich unhaltbar noch bundesrechtswidrig.</w:t>
      </w:r>
    </w:p>
    <w:p>
      <w:r>
        <w:rPr>
          <w:b/>
        </w:rPr>
        <w:t>E. 2.2.4</w:t>
      </w:r>
    </w:p>
    <w:p>
      <w:r>
        <w:t>Die Steuerpflichtigen bringen schliesslich vor, sie hätten den betrieblichen "Turnaround" geschafft, unter anderem auch aufgrund dessen, dass sie die Zusammenarbeit mit einem benachbarten Betrieb gesucht hätten. Sie verweisen hierzu auf das Geschäftsjahr 2013, in welchem unter diesem Titel ein Gewinn von Fr. 11'179.-- erwirtschaftet worden sei. Wie es sich damit im Einzelnen verhält, ist wiederum weder vorinstanzlich festgestellt noch rechtserheblich. Für steuerliche Zwecke selbständig erwerbender Personen ist der handelsrechtliche Gewinn massgeblich, der gegebenenfalls im steuerrechtlichen Sinne korrigiert wurde ( Art. 18 Abs. 3 DBG ; Urteil 2C_509/2013 / 2C_510/2013 und 2C_527/2013 / 2C_528/2013 vom 8. Juni 2014 E. 2.2.1, in: ASA 83 S. 68). Tatsache ist, dass die Steuerpflichtigen in ihrer Steuererklärung 2013 einen Verlust von Fr. 26'108.-- deklarierten (Sachverhalt, lit. C). Daran vermag ein angeblich positiver Mittelfluss ("Cashflow") entgegen der Ansicht der Steuerpflichtigen nichts zu ändern. Dass der Betrieb vollumfänglich in der Landwirtschaftszone liegen soll, ist ebenso wenig von Belang. Dies könnte bodenrechtlich eine Rolle spielen, nicht jedoch für die Frage, ob direktsteuerlich von selbständiger (Neben-) Erwerbstätigkeit auszugehen sei.</w:t>
      </w:r>
    </w:p>
    <w:p>
      <w:r>
        <w:rPr>
          <w:b/>
        </w:rPr>
        <w:t>E. 2.2.5</w:t>
      </w:r>
    </w:p>
    <w:p>
      <w:r>
        <w:t>Die Beschwerde erweist sich bis dahin als unbegründet. Der vorinstanzlich festgestellte Verlust des Geschäftsjahrs 2011 von Fr. 66'625.-- ist, da keine selbständige Erwerbstätigkeit vorliegt, nicht abzugsfähig.</w:t>
      </w:r>
    </w:p>
    <w:p>
      <w:r>
        <w:rPr>
          <w:b/>
        </w:rPr>
        <w:t>E. 2.3.1</w:t>
      </w:r>
    </w:p>
    <w:p>
      <w:r>
        <w:t>Zu beurteilen bleibt der Liquidationsgewinn von Fr. 81'107.--, der sich aus der Differenz von Abschreibungen (Fr. 89'816.--; (Betriebsgebäude, mechanische Einrichtung, Werkstätteeinrichtung) und AHV-Beitrag (Fr. 8'712.--) ergibt (Sachverhalt, lit. B und C). Die Steuerpflichtigen beantragen, von der Erfassung des Liquidationsgewinns von Fr. 81'107.-- sei abzusehen, wozu sie sich auf den Entscheid 3-RV.2015.127 des Spezialverwaltungsgerichts des Kantons Aargau vom 25. Februar 2016 berufen, der allerdings die</w:t>
      </w:r>
    </w:p>
    <w:p>
      <w:r>
        <w:t>Staats- und Gemeindesteuern der vorliegend interessierenden Steuerperiode 2011 zum Gegenstand hatte. Dieser Entscheid scheint rechtskräftig geworden zu sein, verweist die Vorinstanz im angefochtenen Entscheid doch auch darauf.</w:t>
      </w:r>
    </w:p>
    <w:p>
      <w:r>
        <w:rPr>
          <w:b/>
        </w:rPr>
        <w:t>E. 2.3.2</w:t>
      </w:r>
    </w:p>
    <w:p>
      <w:r>
        <w:t>Im genannten Entscheid erwog das Spezialverwaltungsgericht, bei der selbständigen (Neben-) Erwerbstätigkeit des Steuerpflichtigen handle es sich um einen Dauerverlustbetrieb, der als Liebhaberei zu qualifizieren sei (a.a.O., E. 3). Entsprechend wäre aufgrund der Überführung vom Geschäfts- ins Privatvermögen abzurechnen, wenn nicht § 23 Abs. 1 lit. b des Steuergesetzes (des Kantons Aargau) vom 15. Dezember 1998 (StG/AG; SAR 651.100) unter dem Titel "Steueraufschub bei Generationenwechsel" die Möglichkeit einräumte, die steuersystematische Realisation mindestens bis zum Ableben der selbständig erwerbenden Person oder sogar darüber hinaus ( § 23 Abs. 2 StG /AG) aufzuschieben. Die kantonale Norm greift namentlich auch, wenn die vermeintliche selbständige Erwerbstätigkeit als Liebhaberei zu qualifizieren ist (CONRAD WALTHER, in: Marianne Klöti-Weber/Dave Siegrist/Dieter Weber [Hrsg.], Kommentar zum Aargauer Steuergesetz, 4. Aufl. 2015, N. 3a zu § 23 StG /AG). Das Spezialverwaltungsgericht erkannte, das Protokoll der (Einsprache-) Verhandlung vom 4. Juni 2015 sei klarerweise als hinreichende schriftliche Erklärung gegenüber der zuständigen Veranlagungsbehörde ("Revers") im Sinne von § 23 StG /AG zu würdigen, weshalb aus diesem Grund (einstweilen) von der Erfassung des Liquidationsgewinnes von Fr. 81'107.-- abzusehen sei (a.a.O., E. 4).</w:t>
      </w:r>
    </w:p>
    <w:p>
      <w:r>
        <w:rPr>
          <w:b/>
        </w:rPr>
        <w:t>E. 2.3.3</w:t>
      </w:r>
    </w:p>
    <w:p>
      <w:r>
        <w:t>Ob der grosszügig ausgestaltete § 23 StG /AG mit Art. 8 Abs. 2bis des Bundesgesetzes vom 14. Dezember 1990 über die Harmonisierung der direkten Steuern der Kantone und Gemeinden (StHG; SR 642.14) vereinbar ist, muss hier nicht entschieden werden. Von Bedeutung ist vielmehr, dass auch das Recht der direkten Bundessteuer einen gewillkürten Steueraufschub kennt ( Art. 18a DBG ; Urteil 2C_977/2013 vom 1. Mai 2014 E. 4.3, in: ASA 82 S. 751, RDAF 2014 II 455, StR 69/2014 S. 539), wobei dessen Anwendungsbereich in zeitlicher und sachlicher Hinsicht weniger weit greift als § 23 StG /AG. Wie die Steuerpflichtigen insofern zutreffend zum Ausdruck bringen, entfaltet Art. 18a Abs. 1 DBG von vornherein keine eigenständige Bedeutung, soweit es zur Privatentnahme land- und/oder forstwirtschaftlicher Grundstücke kommt. In einem solchen Fall geht Art. 18 Abs. 4 DBG als lex specialis vor (BASTIEN VERREY, in: Yves Noël/Florence Aubry Girardin [Hrsg.], Commentaire romand zum LIFD, 2. Aufl. 2017, N. 10 zu Art. 18a DBG ; FELIX RICHNER/WALTER FREI/STEFAN KAUFMANN/HANS ULRICH MEUTER, Handkommentar zum DBG, 3. Aufl. 2016, N. 15 zu Art. 18a DBG ). Anders als nach Art. 18a DBG bleibt der Wertzuwachs in den Konstellationen von Art. 18 Abs. 4 DBG steuerfrei.</w:t>
      </w:r>
    </w:p>
    <w:p>
      <w:r>
        <w:rPr>
          <w:b/>
        </w:rPr>
        <w:t>E. 2.3.4</w:t>
      </w:r>
    </w:p>
    <w:p>
      <w:r>
        <w:t>Entscheidend ist hier aber letztlich ein anderes Element: Selbst wenn Art. 18a DBG zum Tragen kommen könnte, bliebe zu beachten, dass der Steueraufschub eine Willensäusserung der steuerpflichtigen Person voraussetzt. Die steuerpflichtige Person muss das Sonderregime "verlangen" ( Art. 18a Abs. 1 Satz 1 DBG ). Konkret muss sie ihren Wunsch der Veranlagungsbehörde ausdrücklich bekannt geben (VERREY, a.a.O., N. 12 zu Art. 18a DBG ). Daran fehlt es hier - zumindest für das Recht der direkten Bundessteuer - aber, machen die Steuerpflichtigen doch im bundesgerichtlichen Verfahren nicht geltend, einen derartigen Wunsch geäussert zu haben. Gegenteils hat es ihrer Darstellung nach bei Art. 18 Abs. 4 DBG zu bleiben. Entsprechend setzten sie sich mit Bestand und Höhe des Liquidationsgewinns in keiner Weise auseinander. Rechtliche Mängel, die eine Prüfung von Amtes wegen erforderlich machen könnten, liegen nicht auf der Hand (vorne E. 1.2). Die Beschwerde erweist sich damit auch in dieser Hinsicht als unbegründet. Sie ist abzuweisen.</w:t>
      </w:r>
    </w:p>
    <w:p>
      <w:r>
        <w:rPr>
          <w:b/>
        </w:rPr>
        <w:t>E. 3.1</w:t>
      </w:r>
    </w:p>
    <w:p>
      <w:r>
        <w:t>Nach dem Unterliegerprinzip sind die Kosten des bundesgerichtlichen Verfahrens den Steuerpflichtigen aufzuerlegen (Art. 65 in Verbindung mit Art. 66 Abs. 1 BGG ), wofür die Eheleute zu gleichen Teilen und solidarisch haften ( Art. 66 Abs. 5 BGG ).</w:t>
      </w:r>
    </w:p>
    <w:p>
      <w:r>
        <w:rPr>
          <w:b/>
        </w:rPr>
        <w:t>E. 3.2</w:t>
      </w:r>
    </w:p>
    <w:p>
      <w:r>
        <w:t>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