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2C_548/2013 vom 19. Juni 2013</w:t>
      </w:r>
    </w:p>
    <w:p>
      <w:r>
        <w:t>Bundesgericht, 2013-06-19, DE</w:t>
      </w:r>
    </w:p>
    <w:p>
      <w:r>
        <w:rPr>
          <w:b/>
        </w:rPr>
        <w:t xml:space="preserve">Quelle: </w:t>
      </w:r>
      <w:r>
        <w:t>https://mcp.opencaselaw.ch/entscheid/bger_2C_548_2013</w:t>
      </w:r>
    </w:p>
    <w:p>
      <w:r>
        <w:t>FR: TF 2C_548/2013 du 19 juin 2013</w:t>
      </w:r>
    </w:p>
    <w:p>
      <w:r>
        <w:t>IT: TF 2C_548/2013 del 19 giugno 2013</w:t>
      </w:r>
    </w:p>
    <w:p>
      <w:pPr>
        <w:pStyle w:val="Heading2"/>
      </w:pPr>
      <w:r>
        <w:t>Erwägungen</w:t>
      </w:r>
    </w:p>
    <w:p>
      <w:r>
        <w:rPr>
          <w:b/>
        </w:rPr>
        <w:t>E. 1</w:t>
      </w:r>
    </w:p>
    <w:p>
      <w:r>
        <w:t>Am 23. Mai 2008 veröffentlichte die X.________ AG die Kosten und Tarife 2009 für die Netzebene 1. Nach Überprüfung legte die Eidgenössische Elektrizitätskommission ElCom mit Verfügung vom 6. März 2009 die Tarife 2009 u.a. für die Netznutzung der Netzebene 1 fest (Ziff. 1 Verfügungsdispositiv). Dagegen wurden mehrere Beschwerden an das Bundesverwaltungsgericht erhoben, so auch von der Y.________ AG. Mit Urteil A-2656/2009 vom 7. Mai 2013 hiess das Bundesverwaltungsgericht deren Beschwerde teilweise gut. Es hob Ziff. 1 Verfügungsdispositiv auf und wies die Angelegenheit im Sinne der Erwägungen an die ElCom zurück (Ziff. 1 Urteilsdispositiv). Die Gerichtskosten von Fr. 10'000.-- auferlegte es zu 9/10 der X.________ AG (Ziff. 2 Urteilsdispositiv), welche es zudem zur Bezahlung einer Parteientschädigung von Fr. 12'000.-- an die Y.________ AG verpflichtete (Ziff. 3 Urteilsdispositiv).</w:t>
      </w:r>
    </w:p>
    <w:p>
      <w:r>
        <w:t>Mit Beschwerde in öffentlich-rechtlichen Angelegenheiten vom 13. Juni 2013 beantragt die X.________ AG dem Bundesgericht, Ziff. 2 und 3 des Dispositivs des Urteils des Bundesverwaltungsgerichts seien aufzuheben; dessen Verfahrenskosten seien der ElCom oder der Schweizerischen Eidgenossenschaft aufzuerlegen, welche auch zur Bezahlung der Parteientschädigung an die Y.________ AG zu verpflichten seien.</w:t>
      </w:r>
    </w:p>
    <w:p>
      <w:r>
        <w:t>Es ist weder ein Schriftenwechsel noch sind andere Instruktionsmassnahmen angeordnet worden.</w:t>
      </w:r>
    </w:p>
    <w:p>
      <w:r>
        <w:rPr>
          <w:b/>
        </w:rPr>
        <w:t>E. 2.1</w:t>
      </w:r>
    </w:p>
    <w:p>
      <w:r>
        <w:t>Gemäss Art. 42 Abs. 1 und 2 BGG haben Rechtsschriften die Begehren und deren Begründung zu enthalten. Das Bundesgericht prüft seine Zuständigkeit bzw. die Zulässigkeit eines Rechtsmittels zwar von Amtes wegen und mit freier Kognition ( Art. 29 Abs. 1 BGG ; BGE 137 III 417 E. 1 mit Hinweisen; 136 II 497 E. 3 S. 499 mit Hinweisen).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w:t>
      </w:r>
    </w:p>
    <w:p>
      <w:r>
        <w:rPr>
          <w:b/>
        </w:rPr>
        <w:t>E. 2.2</w:t>
      </w:r>
    </w:p>
    <w:p>
      <w:r>
        <w:t>Die Beschwerde an das Bundesgericht ist einzig gegen End- und Teilentscheide ohne Weiteres zulässig ( Art. 90 und 91 BGG ), gegen Zwischenentscheide jedoch nur unter bestimmten Voraussetzungen ( Art. 92 und 93 BGG ). Ein Rückweisungsentscheid gilt als Zwischenentscheid ( BGE 134 II 124 E. 1.3 S. 127; 133 V 477 E. 4 S. 480- 482). Ein solcher liegt auch dann vor, wenn eine Vorinstanz des Bundesgerichts im Rahmen eines Rückweisungsentscheids über Kostenfolgen befindet ( BGE 135 III 329 ; 133 V 645 E. 2.1 S. 647).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 133 V 645 E. 2; Urteil 2C_759/2008 vom 6. März 2009 E. 2, in: ASA 79 S. 575 und StR 64/2009 S. 608). Entscheidet die Instanz, an welche die Sache zurückgewiesen wurde, in der Hauptsache voll zu Gunsten der Beschwerde führenden Person, so dass diese keinen Anlass mehr hat, diesen Entscheid in der Sache anzufechten, so kann die Kosten- oder Entschädigungsregelung im Rückweisungsentscheid direkt innerhalb der Frist von Art. 100 BGG ab Fällung des (materiell nicht angefochtenen) Endentscheids mit ordentlicher Beschwerde beim Bundesgericht angefochten werden ( BGE 135 III 329 E. 1.2.2 S. 333; 133 V 645 E. 2.2 S. 648 ; 122 I 39 E. 1a/bb S. 42 f.; 117 Ia 251 E. 1b S. 254 f.; Urteile 9C_688/2009 vom 19. November 2009 E. 1.1, in: SVR 2010 IV Nr. 27; 2C_759/2008 vom 6. März 2009 E. 2, in: ASA 79 S. 575 und StR 64/2009 S. 608; so auch Urteil 2C_443/2013 und 2C_444/2013 vom 22. März 2012 E. 2.1).</w:t>
      </w:r>
    </w:p>
    <w:p>
      <w:r>
        <w:rPr>
          <w:b/>
        </w:rPr>
        <w:t>E. 2.3</w:t>
      </w:r>
    </w:p>
    <w:p>
      <w:r>
        <w:t>Angefochten ist ein Rückweisungsentscheid bzw. die damit verbundene Kostenregelung. Ausnahmsweise gelten auch Rückweisungsentscheide als Endentscheide, nämlich dann,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 in StE 2009 B 96.21 Nr. 14; s. auch Urteil 2C_469/2013 und 2C_470/2013 E. 2.2 vom 22. Mai 2013). Das Bundesverwaltungsgericht hat zwar abschliessend über die Höhe der der Y.________ AG für das Jahr 2009 anzurechnenden Anlagerestwerte im Sinne von Art. 15 des Bundesgesetzes vom 23. März 2007 über die Stromversorgung (Stromversorgungsgesetz, StromVG; SR 734.7) bzw. Art. 13 Abs. 2 der Stromversorgungsverordnung vom 14. März 2008 (StromVV; SR 734.71) entschieden. Die Rückweisung an die ElCom ist jedoch mit dem Auftrag der "Neufestsetzung (der) anrechenbaren Betriebs- und Kapitalkosten sowie Abschreibungen für das Jahr 2009" verbunden; zudem wird die ElCom "den Tarif 2009 für die Nutzung des schweizerischen Übertragungsnetzes unter Berücksichtigung dieses Urteils neu zu berechnen haben" (E. 6.3 des angefochtenen Urteils). Diese Formulierung lässt darauf schliessen, dass der ElCom mehr aufgetragen ist als eine rein rechnerische Umsetzung der Vorgaben des angefochtenen Urteils. Die vorliegenden Akten lassen jedenfalls nicht vermuten, dass es sich beim Rückweisungsentscheid des Bundesverwaltungsgerichts ausnahmsweise um einen Endentscheid handle. Die Beschwerdeführerin äussert sich in keiner Weise zu dieser Thematik. Entsprechend befasst sie sich auch nicht mit den Voraussetzungen für die Anfechtbarkeit von Zwischenentscheiden gemäss Art. 92 BGG (fällt hier ausser Betracht) oder Art. 93 BGG ; dass diese erfüllt sein könnten, namentlich das angefochtene Urteil für sie mit einem nicht wieder gutzumachenden Nachteil verbunden sein könnte, ist nicht ersichtlich.</w:t>
      </w:r>
    </w:p>
    <w:p>
      <w:r>
        <w:rPr>
          <w:b/>
        </w:rPr>
        <w:t>E. 2.4</w:t>
      </w:r>
    </w:p>
    <w:p>
      <w:r>
        <w:t>Da die Beschwerde keine Begründung zur nicht evidenten Eintretensfrage enthält, ist darauf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 Der Y.________ AG sind durch den vorliegenden Rechtsstreit vor Bundesgericht keine Kosten entstanden (vgl. Art. 68 Abs. 1 und 2 BGG ), sodass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