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547/2018 vom 28. Juni 2018</w:t>
      </w:r>
    </w:p>
    <w:p>
      <w:r>
        <w:t>Bundesgericht, 2018-06-28, FR</w:t>
      </w:r>
    </w:p>
    <w:p>
      <w:r>
        <w:rPr>
          <w:b/>
        </w:rPr>
        <w:t xml:space="preserve">Quelle: </w:t>
      </w:r>
      <w:r>
        <w:t>https://mcp.opencaselaw.ch/entscheid/bger_2C_547_2018</w:t>
      </w:r>
    </w:p>
    <w:p>
      <w:r>
        <w:t>FR: TF 2C 547/2018 du 28 juin 2018</w:t>
      </w:r>
    </w:p>
    <w:p>
      <w:r>
        <w:t>IT: TF 2C 547/2018 del 28 giugno 2018</w:t>
      </w:r>
    </w:p>
    <w:p>
      <w:pPr>
        <w:pStyle w:val="Heading2"/>
      </w:pPr>
      <w:r>
        <w:t>Regeste</w:t>
      </w:r>
    </w:p>
    <w:p>
      <w:r>
        <w:t>Impôts cantonal et communal et impôt fédéral direct des périodes fiscales 2012 | Finances publiques &amp; droit fiscal</w:t>
      </w:r>
    </w:p>
    <w:p>
      <w:pPr>
        <w:pStyle w:val="Heading2"/>
      </w:pPr>
      <w:r>
        <w:t>Erwägungen</w:t>
      </w:r>
    </w:p>
    <w:p>
      <w:r>
        <w:rPr>
          <w:b/>
        </w:rPr>
        <w:t>E. 1</w:t>
      </w:r>
    </w:p>
    <w:p>
      <w:r>
        <w:t>Par arrêt du 12 avril 2018, la Commission cantonale de recours en matière fiscale du canton du Valais a rejeté le recours que A.X.________ et B.X.________ ont déposé contre la décision du Service cantonal des contributions du canton du Valais du 12 avril 2017 en matière d'impôt fédéral direct, cantonal et communal de la période fiscale 2012.</w:t>
      </w:r>
    </w:p>
    <w:p>
      <w:r>
        <w:rPr>
          <w:b/>
        </w:rPr>
        <w:t>E. 2</w:t>
      </w:r>
    </w:p>
    <w:p>
      <w:r>
        <w:t>Par courrier du 23 juin 2018, A.X.________ et B.X.________, agissant par leur représentant, ont déposé un recours auprès du Tribunal fédéral contre l'arrêt rendu le 12 avril 2018 par la Commission cantonale de recours en matière fiscale du canton du Valais.</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134 II 244 consid. 2.3 p. 246 s.). En l'espèce, il apparaît que les griefs formulés dans le présent recours sont identiques à ceux exposés dans le mémoire de recours du 12 mai 2017 déposé devant l'instance précédente, hormis un passage sis en pages 5 in fine et 6 du mémoire qui ne contient aucun grief nouveau, puisqu'il souligne des faits, du reste non pertinents, et se contente, fondé sur le même texte que celui produit devant l'instance précédente, de conclure ("donc") à une interprétation erronée et illégale de la jurisprudence du Tribunal fédéral ainsi qu'à une violation manifeste de la loi et des règles de prévoyance professionnelle, affirmant que les contribuables étaient manifestement en droit de cotiser au 2ème pilier.</w:t>
      </w:r>
    </w:p>
    <w:p>
      <w:r>
        <w:rPr>
          <w:b/>
        </w:rPr>
        <w:t>E. 4</w:t>
      </w:r>
    </w:p>
    <w:p>
      <w:r>
        <w:t>Le recours est ainsi manifestement irrecevable ( art. 108 al. 1 let. b LTF ) et doit être traités selon la procédure simplifiée de l' art. 108 LTF .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