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2C_544/2011 vom 30. Juni 2011</w:t>
      </w:r>
    </w:p>
    <w:p>
      <w:r>
        <w:t>Bundesgericht, 2011-06-30, FR</w:t>
      </w:r>
    </w:p>
    <w:p>
      <w:r>
        <w:rPr>
          <w:b/>
        </w:rPr>
        <w:t xml:space="preserve">Quelle: </w:t>
      </w:r>
      <w:r>
        <w:t>https://mcp.opencaselaw.ch/entscheid/bger_2C_544_2011</w:t>
      </w:r>
    </w:p>
    <w:p>
      <w:r>
        <w:t>FR: TF 2C_544/2011 du 30 juin 2011</w:t>
      </w:r>
    </w:p>
    <w:p>
      <w:r>
        <w:t>IT: TF 2C_544/2011 del 30 giugno 2011</w:t>
      </w:r>
    </w:p>
    <w:p>
      <w:pPr>
        <w:pStyle w:val="Heading2"/>
      </w:pPr>
      <w:r>
        <w:t>Erwägungen</w:t>
      </w:r>
    </w:p>
    <w:p>
      <w:r>
        <w:rPr>
          <w:b/>
        </w:rPr>
        <w:t>E. 1</w:t>
      </w:r>
    </w:p>
    <w:p>
      <w:r>
        <w:t>Par arrêt du 25 mai 2011, le Tribunal cantonal du canton de Vaud a rejeté le recours déposé par A.________, née le *** 1995, ressortissante de la République démocratique du Congo et y vivant, contre la décision du Service de la population du canton de Vaud du 8 octobre 2010 refusant le regroupement familial partiel avec sa mère B.________. Cette dernière dispose en effet d'une autorisation de séjour en Suisse depuis son mariage le 27 mars 2009 avec C.________, lui-même titulaire d'une autorisation de séjour en Suisse. A l'appui de son arrêt, le Tribunal cantonal a jugé que les conditions de l'art. 44 de la loi fédérale du 16 décembre 2005 sur les étrangers (LEtr; RS 142.20) n'étaient pas réunies.</w:t>
      </w:r>
    </w:p>
    <w:p>
      <w:r>
        <w:rPr>
          <w:b/>
        </w:rPr>
        <w:t>E. 2</w:t>
      </w:r>
    </w:p>
    <w:p>
      <w:r>
        <w:t>Agissant par la voie du recours en matière de droit public et celle du recours constitutionnel subsidiaire, A.________, représentée par sa mère B.________, demande au Tribunal fédéral, sous suite de frais et dépens, de lui accorder une autorisation de séjour, subsidiairement d'annuler l'arrêt attaqué et de renvoyer la cause pour nouvelle décision.</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 La recourante invoque les art. 44 LEtr et 8 CEDH.</w:t>
      </w:r>
    </w:p>
    <w:p>
      <w:r>
        <w:rPr>
          <w:b/>
        </w:rPr>
        <w:t>E. 3.1</w:t>
      </w:r>
    </w:p>
    <w:p>
      <w:r>
        <w:t>En raison de sa formulation potestative, l'art. 44 LEtr ne confère pas, en tant que tel, un droit à une autorisation de séjour. Il s'ensuit que la voie du recours en matière de droit public n'est pas ouverte sur la base de cette disposition (arrêt 2C_537/2009 du 31 mars 2010, consid. 2.2.2).</w:t>
      </w:r>
    </w:p>
    <w:p>
      <w:r>
        <w:rPr>
          <w:b/>
        </w:rPr>
        <w:t>E. 3.2</w:t>
      </w:r>
    </w:p>
    <w:p>
      <w:r>
        <w:t>Un étranger peut invoquer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w:t>
      </w:r>
    </w:p>
    <w:p>
      <w:r>
        <w:t>En l'espèce, la mère de la recourante ne dispose pas d'un droit de séjour durable en Suisse. A cela s'ajoute que le Tribunal cantonal a établi d'une manière qui lie le Tribunal fédéral ( art. 105 al. 1 LTF ) et n'est pas contestée par la recourante que cette dernière n'entretient pas de relations effectives et étroites avec sa mère depuis au moins 8 ans. Il s'ensuit qu'elle ne peut se prévaloir de l' art. 8 CEDH et que la voie du recours en matière de droit public n'est pas ouverte sur la base de cette disposition.</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La recourante ne peut toutefois se prévaloir d'aucune norme du droit fédéral ou du droit international leur accordant un droit à une autorisation de séjour (cf. consid. 3 ci-dessus). Par conséquent, sous cet angle, elle n'a pas une position juridique protégée qui lui confère la qualité pour agir au fond ( ATF 133 I 185 ). Elle ne se plaint en outre pas de la violation de ses droits de partie équivalant à un déni de justice formel, ce qui serait recevable pour autant qu'il ne s'agisse pas de moyens ne pouvant être séparés du fond (cf. ATF 126 I 81 consid. 3c et 7 p. 86 et 94).</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Succombant, la recourante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