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2C_543/2019 vom 19. Juni 2020</w:t>
      </w:r>
    </w:p>
    <w:p>
      <w:r>
        <w:t>Bundesgericht, 2020-06-19, DE</w:t>
      </w:r>
    </w:p>
    <w:p>
      <w:r>
        <w:rPr>
          <w:b/>
        </w:rPr>
        <w:t xml:space="preserve">Quelle: </w:t>
      </w:r>
      <w:r>
        <w:t>https://mcp.opencaselaw.ch/entscheid/bger_2C_543_2019</w:t>
      </w:r>
    </w:p>
    <w:p>
      <w:r>
        <w:t>FR: TF 2C_543/2019 du 19 juin 2020</w:t>
      </w:r>
    </w:p>
    <w:p>
      <w:r>
        <w:t>IT: TF 2C_543/2019 del 19 giugno 2020</w:t>
      </w:r>
    </w:p>
    <w:p>
      <w:pPr>
        <w:pStyle w:val="Heading2"/>
      </w:pPr>
      <w:r>
        <w:t>Erwägungen</w:t>
      </w:r>
    </w:p>
    <w:p>
      <w:r>
        <w:rPr>
          <w:b/>
        </w:rPr>
        <w:t>E. 1.1</w:t>
      </w:r>
    </w:p>
    <w:p>
      <w:r>
        <w:t>Das Staatssekretariat für Migration (SEM) ist im Bereich der ausländerrechtlichen Zwangsmassnahmen zur Behördenbeschwerde legitimiert, falls es um die Klärung einer den Einzelfall betreffenden Rechtsfrage geht (vgl. Art. 89 Abs. 2 lit. a BGG in Verbindung mit Art. 14 Abs. 2 der Organisationsverordnung für das EJPD vom 17. November 1999 [OV-EJPD; SR 172.213.1] ). Die Behördenbeschwerde darf nicht der Behandlung einer vom konkreten Fall losgelösten abstrakten Frage des objektiven Rechts dienen. Sie hat sich vielmehr auf konkrete Probleme eines tatsächlich bestehenden Einzelfalls zu beziehen; zudem muss sie für diesen von einer gewissen Aktualität und (wenigstens noch einer potentiellen) Relevanz sein ( BGE 135 II 338 E. 1.2.1 S. 342; vgl. die Urteile 2C_770/2017 vom 11. September 2018 E. 2 und 2C_576/2018 vom 16. November 2018 E. 1.2.2, je mit weiteren Hinweisen). Das öffentliche Interesse an einer Beurteilung der Behördenbeschwerde muss in vergleichbarer Weise aktuell und praktisch sein, wie es Art. 89 Abs. 1 BGG für das allgemeine Beschwerderecht voraussetzt (vgl. Urteil 2C_576/2018 vom 16. November 2018 E. 1.2.2 mit Hinweisen).</w:t>
      </w:r>
    </w:p>
    <w:p>
      <w:r>
        <w:rPr>
          <w:b/>
        </w:rPr>
        <w:t>E. 1.2.1</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 grundsätzlichen Bedeutung der Problematik im öffentlichen Interesse liegt ( BGE 136 II 101 E. 1.1 S. 103; die Behördenbeschwerde betreffend: Urteil 2C_770/2017 vom 11. September 2018 E. 2).</w:t>
      </w:r>
    </w:p>
    <w:p>
      <w:r>
        <w:rPr>
          <w:b/>
        </w:rPr>
        <w:t>E. 1.2.2</w:t>
      </w:r>
    </w:p>
    <w:p>
      <w:r>
        <w:t>Dem Staatssekretariat für Migration fehlt es vorliegend an einem schutzwürdigen Interesse daran, dass das Bundesgericht die Verfügung der Einzelrichterin überprüft: A.A.________ hatte angekündigt, dass sie mit ihrem Anwalt ein Wiedererwägungsgesuch beim SEM einreichen werde; dies hat sie am 27. September 2019 getan. Sie hält sich, soweit bekannt ist, weiterhin mit ihrem Sohn in der Schweiz auf. Es bestehen keine konkreten Hinweise darauf, dass die Wegweisung in absehbarer Zeit vollzogen werden könnte. Die Rückführungsproblematik ist inzwischen erneut bei den Asylbehörden hängig und der Wegweisungsvollzug vorerst ausgesetzt. Es wird künftig allenfalls die Frage zu beantworten sein, ob im Hinblick auf die verstrichene Zeit die griechischen Behörden überhaupt noch bereit sind, A.A.________ und ihren Sohn zurückzunehmen (vgl. Art. 29 Abs. 2 der Dublin III-Verordnung [Verordnung [EU] Nr.604/2013 des Europäischen Parlaments und des Rates], vgl. auch FILZWIESER/SPRUNG, Dublin-III-Verordnung, 2014, K 9 ff. zu Art. 29 Dublin-III-Verordnung).</w:t>
      </w:r>
    </w:p>
    <w:p>
      <w:r>
        <w:rPr>
          <w:b/>
        </w:rPr>
        <w:t>E. 1.2.3</w:t>
      </w:r>
    </w:p>
    <w:p>
      <w:r>
        <w:t>Entgegen der Ansicht des Staatssekretariats für Migration besteht zum jetzigen Zeitpunkt keine Rechtsfrage, deren Beantwortung wegen ihrer grundsätzlichen Bedeutung im öffentlichen Interesse läge. Im vorliegenden Fall ist die Frage der Zulässigkeit des Wegweisungsentscheids wieder im Asylverfahren hängig gemacht worden. Das Bundesgericht wird sich bei anderer Gelegenheit dazu äussern können, was die richterliche Behörde nach Art. 70 Abs. 2 AIG befugt ist zu überprüfen bzw. wie weit ihre Befugnisse gehen (zur ausländerrechtlichen Haft: vgl. BGE 130 II 377 E. 1 S. 379, 56 E. 2 in fine S. 58; 128 II 193 E. 2.2.2 S. 197 f. mit Hinweisen; 121 II 59 E. 2b und u. 2c S. 61 f.; vgl. ANDREAS ZÜND, in: Spescha et al. [Hrsg.], Migrationsrecht, 5. Aufl. 2019, N. 7 - 9 zu Art. 80 AIG ; SPESCHA/KERLAND/BOLZLI, Handbuch zum Migrationsrecht, 4. Auflage 2020, S. 378, 4. Abschnitt; MARTIN BUSINGER, Ausländerrechtliche Haft, Diss. ZH 2014, S. 99 ff. mit Hinweisen; THOMAS HUGI YAR, § 10 Zwangsmassnahmen im Ausländerrecht, N. 10.28 mit Hinweisen, in: Uebersax/Rudin/Hugi Yar/ Geiser [Hrsg.], Ausländerrecht, 2. Aufl. 2009). Die entsprechende Problematik hängt wesentlich von den konkreten Umständen des Einzelfalls ab, weshalb es sich auch deshalb nicht rechtfertigt, im vorliegenden Fall vom Erfordernis des aktuellen Interesses abzusehen.</w:t>
      </w:r>
    </w:p>
    <w:p>
      <w:r>
        <w:rPr>
          <w:b/>
        </w:rPr>
        <w:t>E. 2</w:t>
      </w:r>
    </w:p>
    <w:p>
      <w:r>
        <w:t>Auf die Behördenbeschwerde des SEM ist mangels des hierfür erforderlichen aktuellen Interesses nicht einzutreten. Es sind keine Kosten zu erheben (vgl. Art. 66 Abs. 4 BGG )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