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540/2018 vom 25. Juni 2018</w:t>
      </w:r>
    </w:p>
    <w:p>
      <w:r>
        <w:t>Bundesgericht, 2018-06-25, FR</w:t>
      </w:r>
    </w:p>
    <w:p>
      <w:r>
        <w:rPr>
          <w:b/>
        </w:rPr>
        <w:t xml:space="preserve">Quelle: </w:t>
      </w:r>
      <w:r>
        <w:t>https://mcp.opencaselaw.ch/entscheid/bger_2C_540_2018</w:t>
      </w:r>
    </w:p>
    <w:p>
      <w:r>
        <w:t>FR: TF 2C 540/2018 du 25 juin 2018</w:t>
      </w:r>
    </w:p>
    <w:p>
      <w:r>
        <w:t>IT: TF 2C 540/2018 del 25 giugno 2018</w:t>
      </w:r>
    </w:p>
    <w:p>
      <w:pPr>
        <w:pStyle w:val="Heading2"/>
      </w:pPr>
      <w:r>
        <w:t>Regeste</w:t>
      </w:r>
    </w:p>
    <w:p>
      <w:r>
        <w:t>Imposition différée sur sur les gains immobiliers 2014 | Finances publiques &amp; droit fiscal</w:t>
      </w:r>
    </w:p>
    <w:p>
      <w:pPr>
        <w:pStyle w:val="Heading2"/>
      </w:pPr>
      <w:r>
        <w:t>Erwägungen</w:t>
      </w:r>
    </w:p>
    <w:p>
      <w:r>
        <w:rPr>
          <w:b/>
        </w:rPr>
        <w:t>E. 1</w:t>
      </w:r>
    </w:p>
    <w:p>
      <w:r>
        <w:t>Par arrêt du 12 avril 2018, notifié le 24 mai 2018, la Commission de recours en matière fiscale du canton du Valais a rejeté le recours que X.________ a déposé contre la décision sur réclamation du 5 octobre 2016 refusant de différer l'impôt sur le gain immobilier provenant de la vente d'un immeuble le 25 novembre 2013. Le délai de deux ans à cet effet était échu et il n'y avait pas de circonstances spéciales qui permettaient de prolonger ce délai.</w:t>
      </w:r>
    </w:p>
    <w:p>
      <w:r>
        <w:rPr>
          <w:b/>
        </w:rPr>
        <w:t>E. 2</w:t>
      </w:r>
    </w:p>
    <w:p>
      <w:r>
        <w:t>Par mémoire du 21 juin 2018, le contribuable demande au Tribunal fédéral, au moins implicitement, de réformer l'arrêt rendu par la Commission de recours en matière fiscale du canton du Valais en ce sens que l'imposition du gain immobilier provenant de la vente du 25 novembre 2013 soit différée.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du 17 juin 2005 sur le Tribunal fédéral [LTF; RS 173.110]) et doivent se fonder sur les faits retenus par l'arrêt attaqué ( art. 105 al. 1 LTF ).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 manifestement inexact " correspond à celle d'arbitraire au sens de l' art. 9 Cst. (cf. ATF 137 III 268 consid. 1.2 p. 278), ce que la partie recourante doit motiver ( art. 106 al. 2 LTF ; sur les exigences détaillées en la matière cf. arrêt 2C_722/2017 consid. 2.1), faute de quoi il n'est pas possible de s'écarter des faits retenus dans l'arrêt attaqué ou de les compléter. En l'espèce, le recourant présente la chronologie des faits de la cause (chapitre I du mémoire de recours) et demande le complètement ainsi que la correction des faits retenus dans l'arrêt attaqué (chapitre II du mémoire de recours). Il n'expose ni ne motive conformément aux exigences des art. 97 al. 1 et 106 al. 2 LTF en quoi les constatations de faits de l'instance précédente seraient arbitraires ni en quoi, du reste, la corrections des vices qu'il dénonce aurait une influence sur le sort du litige. Il ne fait au surplus pas valoir de violation du droit. En particulier, il ne s'en prend pas à la motivation de l'instance précédente selon laquelle le bien-fonds no ***** acquis en avril 2014 ne peut pas être considéré comme un objet de remploi.</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