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536/2019 vom 6. Januar 2020</w:t>
      </w:r>
    </w:p>
    <w:p>
      <w:r>
        <w:t>Bundesgericht, 2020-01-06, DE</w:t>
      </w:r>
    </w:p>
    <w:p>
      <w:r>
        <w:rPr>
          <w:b/>
        </w:rPr>
        <w:t xml:space="preserve">Quelle: </w:t>
      </w:r>
      <w:r>
        <w:t>https://mcp.opencaselaw.ch/entscheid/bger_2C_536_2019</w:t>
      </w:r>
    </w:p>
    <w:p>
      <w:r>
        <w:t>FR: TF 2C 536/2019 du 6 janvier 2020</w:t>
      </w:r>
    </w:p>
    <w:p>
      <w:r>
        <w:t>IT: TF 2C 536/2019 del 6 gennaio 2020</w:t>
      </w:r>
    </w:p>
    <w:p>
      <w:pPr>
        <w:pStyle w:val="Heading2"/>
      </w:pPr>
      <w:r>
        <w:t>Regeste</w:t>
      </w:r>
    </w:p>
    <w:p>
      <w:r>
        <w:t>Aufenthaltsbewilligung EU/EFTA | Bürgerrecht und Ausländerrecht</w:t>
      </w:r>
    </w:p>
    <w:p>
      <w:pPr>
        <w:pStyle w:val="Heading2"/>
      </w:pPr>
      <w:r>
        <w:t>Erwägungen</w:t>
      </w:r>
    </w:p>
    <w:p>
      <w:r>
        <w:rPr>
          <w:b/>
        </w:rPr>
        <w:t>E. 1</w:t>
      </w:r>
    </w:p>
    <w:p>
      <w:r>
        <w:t>Der Beschwerdeführer beruft sich in der Beschwerde in öffentlich-rechtlichen Angelegenheiten in einer nicht zum Vornherein aussichtslosen Weise (Art. 83 lit. c e contrario BGG) als Angehöriger einer EU-Bürgerin auf Rechtsansprüche aus dem Abkommen vom 21. Juni 1999 zwischen der Schweizerischen Eidgenossenschaft einerseits und der Europäischen Gemeinschaft und ihren Mitgliedstaaten andererseits über die Freizügigkeit (FZA; SR 0.142.112.681). Die weiteren Sachurteilsvoraussetzungen (Art. 42 Abs. 1 und 2, Art. 82 lit. a, Art. 86 Abs. 1 lit. d, Art. 89 Abs. 1, Art. 90, Art. 100 Abs. 1 BGG ) sind erfüllt, weshalb auf die Beschwerde in öffentlich-rechtlichen Angelegenheiten einzutreten ist. Nicht einzutreten ist mangels Begründung (Art. 117 i.V.m. 106 Abs. 2 BGG) demgegenüber auf die subsidiäre Verfassungsbeschwerde, mit welcher der Beschwerdeführer rügte, dass die Wegweisung unzumutbar sei.</w:t>
      </w:r>
    </w:p>
    <w:p>
      <w:r>
        <w:rPr>
          <w:b/>
        </w:rPr>
        <w:t>E. 2.1</w:t>
      </w:r>
    </w:p>
    <w:p>
      <w:r>
        <w:t>Nach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 BGE 144 II 1 E. 3.1 S. 4; 139 II 393 E. 2.1 S. 395; 137 II 1 E. 3.2 S. 5 f.; 130 II 113 E. 7 S. 124 ff.).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 BGE 144 II 1 E. 3.1 S. 4; 139 II 393 E. 2.1 S. 395; 130 II 113 E. 9 S. 129 ff.). 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(VEP; SR 142.203) i.V.m. Art. 62 Abs. 1 lit. d AIG (bis 31. Dezember 2018 AuG [AS 2007 5437]; SR 142.20; Nichteinhalten einer mit der Verfügung verbundenen Bedingung) widerrufen oder nicht (mehr) verlängert werden, da das Freizügigkeitsabkommen diesbezüglich keine eigenen abweichenden Bestimmungen enthält (vgl. Art. 2 Abs. 2 AIG ; BGE 139 II 393 E. 2.1 S. 395 mit Hinweisen).</w:t>
      </w:r>
    </w:p>
    <w:p>
      <w:r>
        <w:rPr>
          <w:b/>
        </w:rPr>
        <w:t>E. 2.2</w:t>
      </w:r>
    </w:p>
    <w:p>
      <w:r>
        <w:t>Der Beschwerdeführer und seine Ehefrau haben sich nach rund drei Ehejahren im Oktober 2017 definitiv getrennt, was durch die massiven Bedrohungen des Beschwerdeführers gegenüber seiner Ehefrau ausgelöst wurde, die auch in Gewaltschutzmassnahmen und in einer strafrechtlichen Verurteilung mündeten. An dieser Trennung hat sich bis zum vorinstanzlichen Entscheid vom 17. April 2019, in welchem entsprechend Art. 110 BGG der Sachverhalt so festzustellen ist, wie er sich zum Zeitpunkt dieses Urteils tatsächlich präsentiert (Urteil 2C_1034/2016 vom 13. November 2017 E. 4.2), nichts geändert. Immerhin sind zwischen Oktober 2017 und April 2019 eineinhalb Jahre vergangen, weshalb der Auffassung des Beschwerdeführers nicht gefolgt werden kann, dass es keine klare Anzeichen für ein Scheitern der Ehe gibt. Kommt hinzu, dass die Ehefrau des Beschwerdeführers bereits vor dessen massiven Bedrohungen konstatierte, dass der Beschwerdeführer mit ihr nicht mehr zusammenlebte, sondern monatelang nicht zu Hause erschien; zudem hat der Beschwerdeführer ebenfalls bereits vor den Gewaltschutzmassnahmen und vor der Anzeige Ende August 2017 die gemeinsame eheliche Wohnung verlassen ( Art. 105 Abs. 2 BGG ), was insgesamt darauf hindeutet, dass die Ehe bereits vor der Anzeige ihres Inhaltes entleert war. Unter diesen Umständen durfte die Vorinstanz davon ausgehen, dass sich der Beschwerdeführer auf eine inhaltsleere, nur noch formell bestehende Ehe berief, um sein Anwesenheitsrecht zu sichern. Hierzu dient die freizügigkeitsrechtliche Nachzugsregelung für Drittstaatsangehörige nicht.</w:t>
      </w:r>
    </w:p>
    <w:p>
      <w:r>
        <w:rPr>
          <w:b/>
        </w:rPr>
        <w:t>E. 3</w:t>
      </w:r>
    </w:p>
    <w:p>
      <w:r>
        <w:t>Der Beschwerdeführer beruft sich sodann auf Art. 50 Abs. 1 lit. b i.V.m. Abs. 2 AIG (vgl. zu dessen Anwendbarkeit im Rahmen des FZA BGE 144 II 1 E. 4 insbes. 4.7 S. 7 ff. bzw. 10 f.). Danach besteht nach Auflösung der Ehe oder der Familiengemeinschaft der Anspruch des Ehegatten und der Kinder auf Erteilung und Verlängerung der Aufenthaltsbewilligung nach den Artikeln 42 und 43 weiter, wenn wichtige persönliche Gründe einen weiteren Aufenthalt in der Schweiz erforderlich machen. Wichtige persönliche Gründe nach Absatz 1 Buchstabe b können namentlich vorliegen, wenn die Ehegattin oder der Ehegatte Opfer ehelicher Gewalt wurde oder die Ehe nicht aus freiem Willen geschlossen wurde oder die soziale Wiedereingliederung im Herkunftsland stark gefährdet erscheint ( Art. 50 Abs. 2 AIG ). Bereits diese Aufzählung macht klar, dass es spezieller Gründe bedarf, damit die ausländische Person nicht in ihr Heimatland zurückkehren muss. Diesbezüglich spielt es deshalb keine Rolle, dass Ägypten wirtschaftlich am Boden sei und der Beschwerdeführer dort im Gegensatz zur Schweiz keine Zukunft habe oder dass die Menschenrechtslage in Ägypten problematisch sei. Diese Gründe machen noch keinen Aufenthalt in der Schweiz erforderlich, auch wenn das Leben hier sich einfacher als dort gestaltet. Der Beschwerdeführer hat lediglich in genereller Weise auf die Unwägbarkeiten in Ägypten hingewiesen. Inwiefern er aber persönlich davon betroffen ist, hat er nicht ausgeführt. Eine besondere, aussergewöhnliche Beziehung hat er zur Schweiz nicht geknüpft, auch wenn er die Sprache spricht, hier arbeitet und sich grundsätzlich normal integriert hat.</w:t>
      </w:r>
    </w:p>
    <w:p>
      <w:r>
        <w:rPr>
          <w:b/>
        </w:rPr>
        <w:t>E. 4</w:t>
      </w:r>
    </w:p>
    <w:p>
      <w:r>
        <w:t>Die Beschwerde erweist sich somit als unbegründet und ist abzuweisen, soweit darauf eingetreten werden kann. Entsprechend diesem Verfahrensausgang ist der Beschwerdeführer für das bundesgerichtliche Verfahren kostenpflichtig ( Art. 66 Abs. 1 BGG ). Parteientschädigungen sind keine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