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535/2018 vom 10. September 2018</w:t>
      </w:r>
    </w:p>
    <w:p>
      <w:r>
        <w:t>Bundesgericht, 2018-09-10, FR</w:t>
      </w:r>
    </w:p>
    <w:p>
      <w:r>
        <w:rPr>
          <w:b/>
        </w:rPr>
        <w:t xml:space="preserve">Quelle: </w:t>
      </w:r>
      <w:r>
        <w:t>https://mcp.opencaselaw.ch/entscheid/bger_2C_535_2018</w:t>
      </w:r>
    </w:p>
    <w:p>
      <w:r>
        <w:t>FR: TF 2C 535/2018 du 10 septembre 2018</w:t>
      </w:r>
    </w:p>
    <w:p>
      <w:r>
        <w:t>IT: TF 2C 535/2018 del 10 settembre 2018</w:t>
      </w:r>
    </w:p>
    <w:p>
      <w:pPr>
        <w:pStyle w:val="Heading2"/>
      </w:pPr>
      <w:r>
        <w:t>Regeste</w:t>
      </w:r>
    </w:p>
    <w:p>
      <w:r>
        <w:t>Révocation de l'autorisation d'établissement et renvoi de Suisse | Droit de cité et droit des étrangers</w:t>
      </w:r>
    </w:p>
    <w:p>
      <w:pPr>
        <w:pStyle w:val="Heading2"/>
      </w:pPr>
      <w:r>
        <w:t>Erwägungen</w:t>
      </w:r>
    </w:p>
    <w:p>
      <w:r>
        <w:rPr>
          <w:b/>
        </w:rPr>
        <w:t>E. 1</w:t>
      </w:r>
    </w:p>
    <w:p>
      <w:r>
        <w:t>D'après l' art. 83 let . c ch. 2 LTF, le recours en matière de droit public est irrecevable contre les décisions relatives à une autorisation de droit des étrangers à laquelle ni le droit fédéral ni le droit international ne donnent droit. Il est recevable contre les décisions révoquant une autorisation d'établissement, car il existe en principe un droit au maintien d'une telle autorisation (cf. ATF 135 II 1 consid. 1.2.1 p. 4). Pour le surplus, l'arrêt attaqué est une décision finale ( art. 90 LTF ), rendue en dernière instance cantonale par un tribunal supérieur ( art. 86 al. 1 let . d et al. 2 LTF). Déposé en temps utile ( art. 100 al. 1 LTF ) et dans les formes prescrites ( art. 42 LTF ), par le destinataire de l'acte attaqué qui a un intérêt digne de protection à son annulation ou à sa modification, si bien qu'il faut lui reconnaître la qualité pour recourir ( art. 89 al. 1 LTF ), le recours en matière de droit public est recevable et il convient d'entrer en matière.</w:t>
      </w:r>
    </w:p>
    <w:p>
      <w:r>
        <w:rPr>
          <w:b/>
        </w:rPr>
        <w:t>E. 2.1</w:t>
      </w:r>
    </w:p>
    <w:p>
      <w:r>
        <w:t>Saisi d'un recours en matière de droit public, le Tribunal fédéral examine librement la violation du droit fédéral (cf. art. 95 let. a et 106 al. 1 LTF ), sous réserve des exigences de motivation figurant à l' art. 106 al. 2 LTF . Il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(cf. ATF 142 II 355 consid. 6 p. 358; 139 II 373 consid. 1.6 p. 377). La partie recourante doit expliquer de manière circonstanciée en quoi ces conditions seraient réalisées (cf. art. 106 al. 2 LTF ).</w:t>
      </w:r>
    </w:p>
    <w:p>
      <w:r>
        <w:rPr>
          <w:b/>
        </w:rPr>
        <w:t>E. 2.2</w:t>
      </w:r>
    </w:p>
    <w:p>
      <w:r>
        <w:t>Le recourant se prévaut de faits qui ne résultent pas de l'arrêt attaqué, en particulier d'activités professionnelles, sans démontrer que les conditions de l' art. 97 al. 1 LTF permettent de compléter l'état de fait retenu par l'instance précédente.</w:t>
      </w:r>
    </w:p>
    <w:p>
      <w:r>
        <w:rPr>
          <w:b/>
        </w:rPr>
        <w:t>E. 3</w:t>
      </w:r>
    </w:p>
    <w:p>
      <w:r>
        <w:t>Selon l'art. 63 al. 1 let. a LEtr, l'autorisation d'établissement peut être révoquée lorsque les conditions visées à l'art. 62 al. 1 let. a ou b LEtr sont remplies. Aux termes de l'art. 63 al. 1 let. b LEtr, l'autorisation d'établissement peut être révoquée si l'étranger attente de manière très grave à la sécurité et l'ordre publics en Suisse ou à l'étranger, les met en danger ou représente une menace pour la sécurité intérieure ou extérieure de la Suisse. Selon l'art. 62 let. b LEtr,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139 I 145 consid. 2.1 p. 147; 139 II 65 consid. 5.1 p. 72). En l'espèce, le recourant remplit les conditions permettant de révoquer son autorisation d'établissement au sens des art. 63 al. 1 let. a et al. 2 ainsi que 62 let. b LEtr, du moment qu'il a été condamné à deux reprises à des peines privatives de liberté de deux ans ainsi qu'à trois autres reprises à des peines privatives de libertés inférieures à une année, la dernière fois à trois mois pour des faits datant des 6 juillet et 3 octobre 2015. Il ne le conteste pas. Il dénonce en revanche une violation du principe de la proportionnalité prévu à l'art. 96 LEtr. Ce grief sera examiné ci-dessous.</w:t>
      </w:r>
    </w:p>
    <w:p>
      <w:r>
        <w:rPr>
          <w:b/>
        </w:rPr>
        <w:t>E. 4</w:t>
      </w:r>
    </w:p>
    <w:p>
      <w:r>
        <w:t>Le recourant se prévaut également du droit au respect de la vie de famille et du droit au respect de la vie privée garantis par l' art. 8 CEDH .</w:t>
      </w:r>
    </w:p>
    <w:p>
      <w:r>
        <w:rPr>
          <w:b/>
        </w:rPr>
        <w:t>E. 4.1</w:t>
      </w:r>
    </w:p>
    <w:p>
      <w:r>
        <w:t>Dans un arrêt destiné à la publication, après avoir longuement rappelé la position de la Cour EDH sur le droit au respect de la vie familiale et le droit au respect de la vie privée, le Tribunal fédéral a précisé et structuré sa jurisprudence relative au droit au respect de la vie privée : ce droit dépend fondamentalement de la durée de la résidence en Suisse de l'étranger. Lorsque celui-ci réside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(arrêt 2C_105/2017 du 8 mai 2018 consid. 3 qui sera publié aux ATF).</w:t>
      </w:r>
    </w:p>
    <w:p>
      <w:r>
        <w:rPr>
          <w:b/>
        </w:rPr>
        <w:t>E. 4.2</w:t>
      </w:r>
    </w:p>
    <w:p>
      <w:r>
        <w:t>En l'espèce, le recourant est arrivé en Suisse en 1991 après le décès de ses parents. Il était alors âgé de sept ans. Il n'a plus quitté la Suisse depuis lors. Par conséquent, la mesure d'éloignement confirmée par l'arrêt attaqué porte atteinte au droit du recourant au respect de sa vie privée en Suisse garanti par l' art. 8 par.1 CEDH .</w:t>
      </w:r>
    </w:p>
    <w:p>
      <w:r>
        <w:rPr>
          <w:b/>
        </w:rPr>
        <w:t>E. 5</w:t>
      </w:r>
    </w:p>
    <w:p>
      <w:r>
        <w:t>Le recourant soutient que l'arrêt attaqué viole les art. 96 LEtr, 13 Cst. et 8 par. 2 CEDH. Se pose donc la question de la proportionnalité de la mesure confirmée sur recours par l'instance précédente de révoquer l'autorisation d'établissement du recourant au sens des art. 96 al. 1 LEtr et 8 par. 2 CEDH. L'examen de la proportionnalité sous l'angle de la première disposition, qui se confond avec celui imposé par la seconde (arrêts 2C_970/2017 du 7 mars 2018 consid. 4; 2C_547/2017 du 12 décembre 2017 consid. 4.1; 2C_365/2017 du 7 décembre 2017 consid. 6.3 et les références citées), aura lieu simultanément.</w:t>
      </w:r>
    </w:p>
    <w:p>
      <w:r>
        <w:rPr>
          <w:b/>
        </w:rPr>
        <w:t>E. 5.1</w:t>
      </w:r>
    </w:p>
    <w:p>
      <w:r>
        <w:t>D'emblée, il faut relever que l' art. 13 Cst. a une portée identique à celle de l' art. 8 CEDH (cf. ATF 138 I 331 consid. 8.3.2 p. 350). Les griefs relatifs à cette disposition sont donc absorbés par celui consacré à l' art. 8 CEDH (cf. arrêt 2C_157/2016 du 13 octobre 2016 consid. 6). Il en va de même de la violation alléguée de l' art. 9 Cst. et de l'interdiction de l'arbitraire.</w:t>
      </w:r>
    </w:p>
    <w:p>
      <w:r>
        <w:rPr>
          <w:b/>
        </w:rPr>
        <w:t>E. 5.2</w:t>
      </w:r>
    </w:p>
    <w:p>
      <w:r>
        <w:t>Selon l'art. 96 al. 1 LEtr, les autorités compétentes tiennent compte, en exerçant leur pouvoir d'appréciation, des intérêts publics, de la situation personnelle de l'étranger, ainsi que de son degré d'intégration. De jurisprudence constante, la question de la proportionnalité d'une révocation d'autorisation doit être tranchée au regard de toutes les circonstances du cas d'espèce, les critères déterminants se rapportant notamment en cas de condamnation pénale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(cf. ATF 139 I 31 consid. 2.3.3 p. 34 ss; 135 II 377 consid. 4.3 p. 381 s.; arrêt 2C_970/2017 du 7 mars 2018 consid. 4.1). Lorsque la mesure de révocation est prononcée en raison de la commission d'une infraction, la peine infligée par le juge pénal est le premier critère à utiliser pour évaluer la gravité de la faute et pour procéder à la pesée des intérêts (cf. ATF 139 I 16 consid. 2.2.1 p. 19 s.; 135 II 377 consid. 4.3 p. 381 s.; arrêt 2C_970/2017 du 7 mars 2018 consid. 4.1). La durée de séjour en Suisse d'un étranger constitue un autre critère très important. Plus cette durée est longue, plus les conditions pour prononcer l'expulsion administrative doivent être appréciées restrictivement (cf. arrêt 2C_970/2017 du 7 mars 2018 consid. 4.1). La révocation de l'autorisation d'établissement d'un étranger qui - comme le recourant - séjourne depuis sa petite enfance en Suisse doit se faire avec une retenue particulière, mais n'est pas exclue en cas d'infractions très graves, en particulier en cas de violence, de délits sexuels, de graves infractions à la loi fédérale sur les stupéfiants, ou en cas de récidive, même dans le cas d'un étranger né en Suisse et qui y a passé l'entier de sa vie (cf. arrêts 2C_308/2017 du 21 février 2018 consid. 4.3; 2C_970/2017 du 7 mars 2018 consid. 4.1). On tiendra alors particulièrement compte de l'intensité des liens de l'étranger avec la Suisse et des difficultés de réintégration dans son pays d'origine (arrêts 2C_970/2017 du 7 mars 2018 consid. 4.1; 2C_991/2017 du 1 er février 2018 consid. 6.1).</w:t>
      </w:r>
    </w:p>
    <w:p>
      <w:r>
        <w:rPr>
          <w:b/>
        </w:rPr>
        <w:t>E. 5.3</w:t>
      </w:r>
    </w:p>
    <w:p>
      <w:r>
        <w:t>En l'espèce, le recourant a été reconnu coupable par trois fois de brigandage, soit selon la définition de l' art. 140 CP de vol " avec usage de violence ". L'usage de la violence démontre qu'il s'agit bien d'infractions graves au sens de la jurisprudence rappelées ci-dessus. Ces infractions sont d'autant plus graves que la deuxième infraction, pour partie, et la troisième ont été commises après que le recourant avait été averti le 18 février 2010 qu'en cas de récidive, une révocation de son autorisation d'établissement pouvait être prononcée. A cela s'ajoutent d'autres condamnations prononçant des peines certes moins lourdes, mais dont la dernière pour violation des règles de la loi sur la circulation routière a eu lieu pour des faits récents en 2015. Certes, le recourant soutient qu'il n'a plus commis d'infractions graves depuis sept ans et que le risque qu'il récidive est nul. Il perd de vue à cet égard, d'une part, que l'absence d'infraction dont il se prévaut est pour partie due aux incarcérations successives qu'il a subies entre le 31 mars et le 4 novembre 2010, entre le 18 novembre 2011 et 11 juin 2014 et entre le 10 novembre 2016 et le 20 juin 2017 et, d'autre part, qu'il a fait l'objet de quatre sanctions disciplinaires durant son incarcération les 5 décembre 2016, 29 mars, 2 et 11 mai 2017 pour consommation de produits prohibés, fraude, trafic et inobservation des règlements. Ces éléments démontrent non seulement que le recourant a commis des infractions graves, mais encore qu'il a également un pied dans l'engrenage du trafic de produits prohibés, ce qui constitue de jurisprudence constante, s'agissant d'infraction à la loi fédérale sur les stupéfiants, également un motif d'éloignement, et, enfin, qu'aucune évolution positive de sa part ne peut être retenue, contrairement à ce qu'il prétend. Ces faits démontrent un risque de récidive non négligeable. Sur le plan social et professionnel, le recourant ne peut se prévaloir d'aucune formation professionnelle, hormis sa scolarité obligatoire achevée depuis 2007, ni d'un parcours professionnel stable, sinon d'un stage d'une année auprès de la Fondation D.________. Il ne fait pas état de liens sociaux et ne maintient sur le plan affectif que des liens avec son fils mineur et avec sa soeur ainsi que sa tante à Genève. Il résulte de ces éléments que l'ensemble des relations que le recourant a tissées avec la société suisse depuis plus de vingt ans sont faibles. Seules plaident en faveur du maintien de la vie privée du recourant en Suisse les nombreuses années passées depuis l'âge de sept ans dans son pays d'accueil, mais sans y faire preuve d'une quelconque intégration, ses liens affectifs avec son fils, sur lequel il n'a toutefois ni l'autorité parentale ni la garde et l'absence de liens familiaux en Haïti, pays d'une extrême pauvreté, mais dont il parle la langue.</w:t>
      </w:r>
    </w:p>
    <w:p>
      <w:r>
        <w:rPr>
          <w:b/>
        </w:rPr>
        <w:t>E. 5.4</w:t>
      </w:r>
    </w:p>
    <w:p>
      <w:r>
        <w:t>En conclusion, il n'apparaît pas qu'en faisant primer l'intérêt public à éloigner le recourant de Suisse sur l'intérêt privé à ce que celui-ci puisse continuer d'y demeurer, l'instance précédente ait méconnu les art. 96 LEtr, 5 al. 2 Cst. et 8 par. 2 CEDH. Elle a au contraire pris en considération tous les éléments imposés par la jurisprudence du Tribunal fédéral et de la Cour EDH pour procéder à la pesée des intérêts. Considérant l'ensemble de ces circonstances, elle a retenu à bon droit que la mesure d'éloignement du recourant n'était pas disproportionnée.</w:t>
      </w:r>
    </w:p>
    <w:p>
      <w:r>
        <w:rPr>
          <w:b/>
        </w:rPr>
        <w:t>E. 6</w:t>
      </w:r>
    </w:p>
    <w:p>
      <w:r>
        <w:t>Les considérants qui précèdent conduisent au rejet du recours. Le recours étant manifestement dépourvu de chances de succès, la demande d'assistance judiciaire est rejetée ( art. 64 al. 1 LTF ). Par conséquent, les frais judiciaires seront mis à la charge du recourant, mais ils seront fixés en tenant compte de sa situation financière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