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535/2009 vom 29. September 2009</w:t>
      </w:r>
    </w:p>
    <w:p>
      <w:r>
        <w:t>Bundesgericht, 2009-09-29, IT</w:t>
      </w:r>
    </w:p>
    <w:p>
      <w:r>
        <w:rPr>
          <w:b/>
        </w:rPr>
        <w:t xml:space="preserve">Quelle: </w:t>
      </w:r>
      <w:r>
        <w:t>https://mcp.opencaselaw.ch/entscheid/bger_2C_535_2009</w:t>
      </w:r>
    </w:p>
    <w:p>
      <w:r>
        <w:t>FR: TF 2C 535/2009 du 29 septembre 2009</w:t>
      </w:r>
    </w:p>
    <w:p>
      <w:r>
        <w:t>IT: TF 2C 535/2009 del 29 settembre 2009</w:t>
      </w:r>
    </w:p>
    <w:p>
      <w:pPr>
        <w:pStyle w:val="Heading2"/>
      </w:pPr>
      <w:r>
        <w:t>Regeste</w:t>
      </w:r>
    </w:p>
    <w:p>
      <w:r>
        <w:t>Studio pianificatorio del collegamento stradale A2-A13 (studio di fattibilità di cinque varianti) | Diritto fondamentale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2C_535/2009 è stralciata dai ruoli a seguito del ritiro dei ricorsi.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ai patrocinatori, rispettivamente al rappresentante delle parti e al Tribunale amministrativo del Cantone Ticino. Losanna, 29 settembre 2009 In nome della II Corte di diritto pubblico del Tribunale federale svizzero Il Presidente: La Cancelliera: Müller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