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2C_529/2012 vom 13. Juni 2012</w:t>
      </w:r>
    </w:p>
    <w:p>
      <w:r>
        <w:t>Bundesgericht, 2012-06-13, IT</w:t>
      </w:r>
    </w:p>
    <w:p>
      <w:r>
        <w:rPr>
          <w:b/>
        </w:rPr>
        <w:t xml:space="preserve">Quelle: </w:t>
      </w:r>
      <w:r>
        <w:t>https://mcp.opencaselaw.ch/entscheid/bger_2C_529_2012</w:t>
      </w:r>
    </w:p>
    <w:p>
      <w:r>
        <w:t>FR: TF 2C_529/2012 du 13 juin 2012</w:t>
      </w:r>
    </w:p>
    <w:p>
      <w:r>
        <w:t>IT: TF 2C_529/2012 del 13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136 I 24 consid. 1 pag. 43; 135 II 22 consid. 1 pag. 24 con rispettivi rinvii). Ciononostante, giusta l' art. 42 cpv. 1 e 2 LTF , incombe al ricorrente dimostrare, se le medesime non risultano manifestamente date, che sono adempiute le condizioni di ricevibilità del ricorso, pena l'inammissibilità del medesimo ( DTF 133 II 353 consid. 1 e riferimenti; sentenze 1C_20/2009 del 30 gennaio 2009 e 2C_692/2008 del 24 febbraio 2009, quest'ultima pubblicata in Pra 2009 n. 119 pag. 812 consid. 1).</w:t>
      </w:r>
    </w:p>
    <w:p>
      <w:r>
        <w:rPr>
          <w:b/>
        </w:rPr>
        <w:t>E. 2.1</w:t>
      </w:r>
    </w:p>
    <w:p>
      <w:r>
        <w:t>Conformemente all' art. 89 cpv. 1 LTF ha diritto di interporre ricorso in materia di diritto pubblico chi ha partecipato al procedimento dinanzi all'autorità inferiore o è stato privato della possibilità di farlo (lett. a), è particolarmente toccato dalla decisione o dall'atto normativo impugnati (lett. b), e ha un interesse degno di protezione all'annullamento o alla modifica degli stessi (lett. c).</w:t>
      </w:r>
    </w:p>
    <w:p>
      <w:r>
        <w:rPr>
          <w:b/>
        </w:rPr>
        <w:t>E. 2.2</w:t>
      </w:r>
    </w:p>
    <w:p>
      <w:r>
        <w:t>Nell'ipotesi di un ricorso interposto contro atti normativi cantonali può ricorrere chi è effettivamente toccato nei propri interessi dalla norma in questione oppure potrà esserlo in seguito; un interesse virtuale è sufficiente, se è minimamente verosimile che al ricorrente potranno essere applicate le disposizioni contestate ( DTF 135 II 243 consid. 1.2 pag. 246 e rinvii). L'interesse degno di protezione inoltre non dev'essere necessariamente giuridico, bensì un interesse di fatto è sufficiente ( DTF 135 II 243 consid. 1.2 pag. 247; 133 I 286 consid. 2.2 pag. 290).</w:t>
      </w:r>
    </w:p>
    <w:p>
      <w:r>
        <w:rPr>
          <w:b/>
        </w:rPr>
        <w:t>E. 3</w:t>
      </w:r>
    </w:p>
    <w:p>
      <w:r>
        <w:t>Nel caso specifico riguardo alla questione della sua legittimazione a ricorrere, l'insorgente si limita ad affermare che la stessa è stata pacificamente ammessa già dinanzi all'istanza precedente, ragione per cui dev'essere ammessa anche dinanzi al Tribunale federale. Ciò è manifestamente insufficiente, le tre condizioni poste dall' art. 89 cpv. 1 LTF dovendo essere adempiute cumulativamente ( DTF 133 II 249 consid. 1.3 pag. 252) e il ricorrente è tenuto a dimostrarlo. Sennonché egli è del tutto silente riguardo al tema di sapere se è effettivamente toccato nei propri interessi dalla norma querelata oppure se potrebbe esserlo in seguito; infatti non pretende ed ancora meno dimostra che il limite temporale instaurato all' art. 3 del regolamento contestato può, rispettivamente potrebbe applicarsi nei suoi confronti. Nelle siffatte circostanze, al ricorrente dev'essere negata la legittimazione a impugnare il contestato art. 3 del regolamento. Per i motivi illustrati, il gravame si avvera pertanto manifestamente inammissibile ( art. 108 cpv. 1 lett. a LTF ) e va deciso secondo la procedura semplificata dell' art. 108 LTF .</w:t>
      </w:r>
    </w:p>
    <w:p>
      <w:r>
        <w:rPr>
          <w:b/>
        </w:rPr>
        <w:t>E. 4</w:t>
      </w:r>
    </w:p>
    <w:p>
      <w:r>
        <w:t>Le spese seguono la soccombenza e sono poste a carico del ricorrente ( art. 66 cpv. 1 LTF ). Non si concedono ripetibili alle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