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528/2014 vom 2. Juni 2014</w:t>
      </w:r>
    </w:p>
    <w:p>
      <w:r>
        <w:t>Bundesgericht, 2014-06-02, FR</w:t>
      </w:r>
    </w:p>
    <w:p>
      <w:r>
        <w:rPr>
          <w:b/>
        </w:rPr>
        <w:t xml:space="preserve">Quelle: </w:t>
      </w:r>
      <w:r>
        <w:t>https://mcp.opencaselaw.ch/entscheid/bger_2C_528_2014</w:t>
      </w:r>
    </w:p>
    <w:p>
      <w:r>
        <w:t>FR: TF 2C 528/2014 du 2 juin 2014</w:t>
      </w:r>
    </w:p>
    <w:p>
      <w:r>
        <w:t>IT: TF 2C 528/2014 del 2 giugno 2014</w:t>
      </w:r>
    </w:p>
    <w:p>
      <w:pPr>
        <w:pStyle w:val="Heading2"/>
      </w:pPr>
      <w:r>
        <w:t>Regeste</w:t>
      </w:r>
    </w:p>
    <w:p>
      <w:r>
        <w:t>Impôt sur la fortune 2009 | Finances publiques &amp; droit fiscal</w:t>
      </w:r>
    </w:p>
    <w:p>
      <w:pPr>
        <w:pStyle w:val="Heading2"/>
      </w:pPr>
      <w:r>
        <w:t>Erwägungen</w:t>
      </w:r>
    </w:p>
    <w:p>
      <w:r>
        <w:rPr>
          <w:b/>
        </w:rPr>
        <w:t>E. 1</w:t>
      </w:r>
    </w:p>
    <w:p>
      <w:r>
        <w:t>Par arrêt du 29 avril 2014, le Tribunal cantonal du canton de Vaud a rejeté le recours que X.________ a interjeté contre la décision sur réclamation du 12 novembre 2013 de l'Administration des impôts du canton de Vaud fixant la valeur des cents actions non cotées de Y.________ SA à 173'040 fr. pour la période fiscale 2009. Il a jugé que l'Administration fiscale cantonale avait correctement fait application de la circulaire n°28, du 28 août 2008, de la Conférence suisse des impôts, intitulée "Instructions concernant l'estimation des titres non cotés en vue de l'impôt sur la fortune", applicables à compter du 1er janvier 2008. En particulier, il n'y avait aucun motif de douter de la force probante de la comptabilité remise au fisc en vue de l'établissement de la valeur fiscale des actions.</w:t>
      </w:r>
    </w:p>
    <w:p>
      <w:r>
        <w:rPr>
          <w:b/>
        </w:rPr>
        <w:t>E. 2</w:t>
      </w:r>
    </w:p>
    <w:p>
      <w:r>
        <w:t>Par mémoire intitulé "recours en matière civile", X.________ demande au Tribunal fédéral d'admettre son recours contre la décision du 29 avril 2014 et de dire que l'Administration cantonale des impôts doit réclamer les informations utiles à Y.________ SA, doit fournir de nouvelles valeurs vénales et fiscales pour les actions au 31.12.2008 et 31.12.2009, avec les pièces permettant de vérifier ces nouvelles valeurs et doit conserver tous les comptes de B.Z.________ &amp; Cie SA pour les années 1999 à 2001. Elle demande que les frais de procédure soient mis à la charge de Y.________ SA. Elle présente un historique de l'affaire qui l'oppose à A.Z.________ ainsi qu'à la société Y.________ SA ainsi que les actions des avocats qu'elle a engagés. Elle estime que des faits ont été passés sous silence dans la décision du 29 avril 2014, qu'il y a une situation de mobbing et que les articles, qu'elle ne cite pas, de la CEDH et du code pénal n'ont pas été appliqués.</w:t>
      </w:r>
    </w:p>
    <w:p>
      <w:r>
        <w:rPr>
          <w:b/>
        </w:rPr>
        <w:t>E. 3.1</w:t>
      </w:r>
    </w:p>
    <w:p>
      <w:r>
        <w:t>L'estimation des titres non cotés à des fins fiscales est une matière du droit public et non pas civile.</w:t>
      </w:r>
    </w:p>
    <w:p>
      <w:r>
        <w:rPr>
          <w:b/>
        </w:rPr>
        <w:t>E. 3.2</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 En l'espèce, la recourante ne critique en aucune manière ne serait-ce même que succinctement le droit appliqué par l'instance précédente.</w:t>
      </w:r>
    </w:p>
    <w:p>
      <w:r>
        <w:rPr>
          <w:b/>
        </w:rPr>
        <w:t>E. 4</w:t>
      </w:r>
    </w:p>
    <w:p>
      <w:r>
        <w:t>Le recours est ainsi manifestement irrecevable ( art. 108 al. 1 let. b LTF ) et doit être traité selon la procédure simplifiée de l' art. 108 LTF , sans qu'il y ait lieu d'ordonner un échange d'écritures. Puisque c'est bien la recourante qui a déposé le présent recours et qu'elle succombe, c'est bien elle qui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