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2C_526/2014 vom 10. Juni 2015</w:t>
      </w:r>
    </w:p>
    <w:p>
      <w:r>
        <w:t>Bundesgericht, 2015-06-10, DE</w:t>
      </w:r>
    </w:p>
    <w:p>
      <w:r>
        <w:rPr>
          <w:b/>
        </w:rPr>
        <w:t xml:space="preserve">Quelle: </w:t>
      </w:r>
      <w:r>
        <w:t>https://mcp.opencaselaw.ch/entscheid/bger_2C_526_2014</w:t>
      </w:r>
    </w:p>
    <w:p>
      <w:r>
        <w:t>FR: TF 2C_526/2014 du 10 juin 2015</w:t>
      </w:r>
    </w:p>
    <w:p>
      <w:r>
        <w:t>IT: TF 2C_526/2014 del 10 giugno 2015</w:t>
      </w:r>
    </w:p>
    <w:p>
      <w:pPr>
        <w:pStyle w:val="Heading2"/>
      </w:pPr>
      <w:r>
        <w:t>Erwägungen</w:t>
      </w:r>
    </w:p>
    <w:p>
      <w:r>
        <w:rPr>
          <w:b/>
        </w:rPr>
        <w:t>E. 1.1</w:t>
      </w:r>
    </w:p>
    <w:p>
      <w:r>
        <w:t>Gegen den kantonal letztinstanzlichen Endentscheid betreffend den Widerruf der Niederlassungsbewilligung - welche vorliegend nach der Nichtigerklärung der erleichterten Einbürgerung wieder aufgelebt ist (vgl. BGE 135 II 1 E. 3 S. 5 ff.) -, steht die Beschwerde in öffentlich-rechtlichen Angelegenheiten offen (Art. 82 lit. a, Art. 83 lit. c Ziff. 2 [e contrario], Art. 86 Abs. 1 lit. d und Art. 90 BGG ; BGE 135 II 1 E. 1.2.1 S. 4). Da auch die übrigen Sachurteilsvoraussetzungen vorliegen, ist auf die Beschwerde einzutreten.</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1.3</w:t>
      </w:r>
    </w:p>
    <w:p>
      <w:r>
        <w:t>Neue Tatsachen und Beweismittel dürfen nur so weit vorgebracht werden, als erst der Entscheid der Vorinstanz dazu Anlass gibt ( Art. 99 Abs. 1 BGG ). Echte Noven, d.h. Tatsachen, die erst nach dem angefochtenen Urteil eingetreten sind, bleiben im bundesgerichtlichen Verfahren in jedem Fall unberücksichtigt ( BGE 135 I 221 E. 5.2.4 S. 229; 133 IV 342 E. 2.1 S. 343 f.). Unzulässig sind sodann Tatsachenbehauptungen und Beweise, die bereits im vorinstanzlichen Verfahren hätten vorgebracht werden können und müssen, mit denen nachträglich belegt werden soll, dass die Sachverhaltsfeststellung offensichtlich unrichtig oder die Beweiswürdigung willkürlich vorgenommen worden ist (Urteil 2C_327/2010 vom 19. Mai 2011 E. 3.1, nicht publ. in: BGE 137 I 347 , mit Hinweis auf BGE 135 V 194 ff.).</w:t>
      </w:r>
    </w:p>
    <w:p>
      <w:r>
        <w:rPr>
          <w:b/>
        </w:rPr>
        <w:t>E. 2</w:t>
      </w:r>
    </w:p>
    <w:p>
      <w:r>
        <w:t>Nach Art. 63 Abs. 1 lit. a i.V.m. Art. 62 lit. a AuG kann die Niederlassungsbewilligung widerrufen werden, wenn die ausländische Person oder ihr Vertreter im Bewilligungsverfahren falsche Angaben macht oder wesentliche Tatsachen verschwiegen hat. Die falsche Angabe oder das Verschweigen wesentlicher Tatsachen muss in der Absicht erfolgen, gestützt darauf den Aufenthalt oder die Niederlassung bewilligt zu erhalten (Urteile 2C_682/2012 vom 7. Februar 2013 E. 4.1; 2C_726/2011 vom 20. August 2012 E. 3.1.1; 2C_656/2011 vom 8. Mai 2012 E. 2.1).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können (Urteile 2C_15/2011 vom 31. Mai 2011 E. 4.2.1). Auch diesbezüglich ist der Gesuchsteller auskunftspflichtig, wenn er bei der Behörde durch von ihm zu vertretende Umstände einen falschen Anschein über Tatsachen erweckt oder aufrechterhält. Das betrifft namentlich das Vorliegen von Parallelbeziehungen und daraus entsprungenen Kindern (statt vieler Urteil 2C_359/2014 vom 1. Dezember 2014 E. 3). Als wesentlicher Umstand gilt gemäss ständiger Rechtsprechung u.a. auch die Absicht der Nichtfortsetzung einer bisherigen bzw. der Begründung einer neuen Ehe (vgl. Urteil 2A.346/2004 vom 10. Dezember 2004 E. 2.2 , bestätigt im Urteil 2C_287/2012 vom 2. November 2012 E. 3.1)</w:t>
      </w:r>
    </w:p>
    <w:p>
      <w:r>
        <w:t>Der Widerruf ist indessen nur zulässig, wenn er aufgrund der relevanten Gesamtumstände verhältnismässig ist (Art. 96 AuG; Urteile 2C_682/2012 vom 7. Februar 2013 E. 5; 2C_726/2011 vom 20. August 2012 E. 3.1.1; 2C_656/2011 vom 8. Mai 2012 E. 2.1).</w:t>
      </w:r>
    </w:p>
    <w:p>
      <w:r>
        <w:rPr>
          <w:b/>
        </w:rPr>
        <w:t>E. 3.1</w:t>
      </w:r>
    </w:p>
    <w:p>
      <w:r>
        <w:t>Die Vorinstanz hat erwogen, jedenfalls nach der Heirat mit D.________ am 2. August 2005 könne nicht mehr gesagt werden, dass beim Beschwerdeführer noch ernsthaft (der Wille) zur Aufrechterhaltung einer ehelichen Gemeinschaft im eigentlichen Sinn mit B.________ vorhanden gewesen sei, sondern es müsse davon ausgegangen werden, dass er - von seiner Seite her - diese erste Ehe bloss noch im Hinblick auf die Erlangung der Niederlassungsbewilligung und der erleichterten Einbürgerung aufrecht erhalten habe.</w:t>
      </w:r>
    </w:p>
    <w:p>
      <w:r>
        <w:t>Sodann erwog die Vorinstanz unter Verweis auf das rechtskräftige Urteil des Bundesverwaltungsgerichts vom 12. Juli 2012 (dort E. 6.3. und 6.4), es sei ebenso davon auszugehen, dass der Beschwerdeführer den schweizerischen Behörden die in Pakistan eingegangene Zweitehe bewusst verheimlicht habe, um die erleichterte Einbürgerung (und zuvor die Erteilung der Niederlassungsbewilligung) nicht zu gefährden.</w:t>
      </w:r>
    </w:p>
    <w:p>
      <w:r>
        <w:rPr>
          <w:b/>
        </w:rPr>
        <w:t>E. 3.2</w:t>
      </w:r>
    </w:p>
    <w:p>
      <w:r>
        <w:t>Der Beschwerdeführer lässt vor dem Bundesgericht vortragen, bei seiner Verbindung mit D.________ habe es sich um eine Zwangsehe gehandelt. Eine Zwangsehe verstosse unbestrittenermassen gegen den schweizerischen "Ordre public" und könne hier mit Blick auf das Recht auf Ehe und Familie ( Art. 14 BV ) bzw. auf das Recht auf persönliche Freiheit ( Art. 10 BV ) nicht anerkannt werden. Es habe daher "objektiv absolut keine Verpflichtung" bestanden, eine solche "nicht bestehende Ehe" den Schweizer Migrationsbehörden mitzuteilen.</w:t>
      </w:r>
    </w:p>
    <w:p>
      <w:r>
        <w:t>Im kantonalen Verfahren (Beschwerde an die Vorinstanz Ziff. 7) hatte der Beschwerdeführer geltend gemacht, die Zweitehe mit D.________ sei "nach dem kulturellen Brauch in Pakistan" geschlossen worden. Dem Urteil des Bundesverwaltungsgerichts vom 19. Juli 2012 lässt sich entnehmen (E. 6.2), dass der Beschwerdeführer im Verfahren der Nichtigerklärung der Einbürgerung vorgetragen hat, "tatsächlich sei die Ehe von seinen Eltern und den Eltern der Braut arrangiert worden". Die Behauptung, bei der Verbindung mit D.________ habe es sich um eine eigentliche Zwangsehe gehandelt, ist vor Bundesgericht damit neu und bleibt als unzulässiges Novum unbeachtlich (vorne E. 1.3). Die übrige Kritik des Beschwerdeführers an der Feststellung der Vorinstanz, dass eine Ehe mit D.________ bestanden habe, ist rein appellatorisch oder - soweit geltend gemacht wird, allein deren Familie habe die "Zwangsheirat (...) angebahnt" (S. 8/9 der Beschwerdeschrift) - neu und damit nicht zu hören.</w:t>
      </w:r>
    </w:p>
    <w:p>
      <w:r>
        <w:rPr>
          <w:b/>
        </w:rPr>
        <w:t>E. 3.3</w:t>
      </w:r>
    </w:p>
    <w:p>
      <w:r>
        <w:t>Damit steht fest, dass der Beschwerdeführer mit D.________ die Ehe geschlossen hatte. Bei dieser sachverhaltlichen Lage ist der Widerrufsgrund von Art. 63 Abs. 1 lit. a i.V.m. Art. 62 lit. a AuG erfüllt; der Beschwerdeführer hätte spätestens im Verfahren auf Erteilung der Niederlassungsbewilligung auf diese Parallelehe hinweisen müssen (vgl. zur Mitteilungspflicht einer religiösen Ehe auch das Urteil 2C_445/2010 vom 11. November 2010 E. 3).</w:t>
      </w:r>
    </w:p>
    <w:p>
      <w:r>
        <w:rPr>
          <w:b/>
        </w:rPr>
        <w:t>E. 4</w:t>
      </w:r>
    </w:p>
    <w:p>
      <w:r>
        <w:t>Es bleibt noch zu prüfen, ob der Widerruf der Niederlassungsbewilligung aufgrund der relevanten Gesamtumstände verhältnismässig erscheint (vorne E. 2, am Ende).</w:t>
      </w:r>
    </w:p>
    <w:p>
      <w:r>
        <w:t>Der Beschwerdeführer bringt in diesem Zusammenhang einzig vor, er sei nicht relevant straffällig gewesen und er sei beruflich gut integriert. Ausschlaggebend für eine Bejahung der Verhältnismässigkeit des Bewilligungswiderrufs ist aber vorliegend nicht die im kantonalen Verfahren mehrfach erwähnte (Bagatell-) Straffälligkeit des Beschwerdeführers, die hier keiner weiteren Erörterung bedarf, sondern der Umstand, dass seine heutige Ehefrau und die gemeinsame Tochter sowie seine übrige Verwandtschaft und diejenige seiner Frau in Pakistan leben, er dorthin gute Kontakte hat und ihm die dortige Sprache und Lebensweise immer noch geläufig sind (angefochtener Entscheid S. 12).</w:t>
      </w:r>
    </w:p>
    <w:p>
      <w:r>
        <w:rPr>
          <w:b/>
        </w:rPr>
        <w:t>E. 5</w:t>
      </w:r>
    </w:p>
    <w:p>
      <w:r>
        <w:t>Die Beschwerde ist damit abzuweisen.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