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2C_524/2021 vom 20. Dezember 2021</w:t>
      </w:r>
    </w:p>
    <w:p>
      <w:r>
        <w:t>Bundesgericht, 2021-12-20, FR</w:t>
      </w:r>
    </w:p>
    <w:p>
      <w:r>
        <w:rPr>
          <w:b/>
        </w:rPr>
        <w:t xml:space="preserve">Quelle: </w:t>
      </w:r>
      <w:r>
        <w:t>https://mcp.opencaselaw.ch/entscheid/bger_2C_524_2021</w:t>
      </w:r>
    </w:p>
    <w:p>
      <w:r>
        <w:t>FR: TF 2C_524/2021 du 20 décembre 2021</w:t>
      </w:r>
    </w:p>
    <w:p>
      <w:r>
        <w:t>IT: TF 2C_524/2021 del 20 dicembre 2021</w:t>
      </w:r>
    </w:p>
    <w:p>
      <w:pPr>
        <w:pStyle w:val="Heading2"/>
      </w:pPr>
      <w:r>
        <w:t>Erwägungen</w:t>
      </w:r>
    </w:p>
    <w:p>
      <w:r>
        <w:rPr>
          <w:b/>
        </w:rPr>
        <w:t>E. 1.1</w:t>
      </w:r>
    </w:p>
    <w:p>
      <w:r>
        <w:t>En tant qu'il s'en prend à l'arrêt du Tribunal cantonal du 28 mai 2021, le présent recours est dirigé contre une décision finale ( art. 90 LTF ), rendue en dernière instance cantonale par un tribunal supérieur ( art. 86 al. 1 let . d et al. 2 LTF) dans une cause de droit public ( art. 82 let. a LTF ) ne tombant pas sous le coup de l'une des exceptions de l' art. 83 LTF . La voie du recours en matière de droit public est partant ouverte (cf. aussi l'art. 146 de la loi fédérale du 14 décembre 1990 sur l'impôt fédéral direct [LIFD; RS 642.11] pour l'IFD et l'art. 73 al. 1 de la loi fédérale du 14 décembre 1990 sur l'harmonisation des impôts directs des cantons et des communes [LHID; RS 642.14] pour l'ICC).</w:t>
      </w:r>
    </w:p>
    <w:p>
      <w:r>
        <w:rPr>
          <w:b/>
        </w:rPr>
        <w:t>E. 1.2</w:t>
      </w:r>
    </w:p>
    <w:p>
      <w:r>
        <w:t>L'instance précédente a traité dans un seul arrêt de l'IFD et de l'ICC, ce qui est admissible ( ATF 135 II 260 consid. 1.3.1). Partant, le dépôt d'un seul acte de recours est aussi autorisé, dans la mesure où le recourant s'en prend clairement aux deux catégories d'impôts (cf. ATF 135 II 260 consid. 1.3.2), ce qui est le cas en l'espèce.</w:t>
      </w:r>
    </w:p>
    <w:p>
      <w:r>
        <w:rPr>
          <w:b/>
        </w:rPr>
        <w:t>E. 1.3</w:t>
      </w:r>
    </w:p>
    <w:p>
      <w:r>
        <w:t>Le recours a par ailleurs été déposé en temps utile ( art. 100 al. 1 LTF ) et dans les formes prescrites ( art. 42 al. 1 LTF ) par le recourant, qui a qualité pour recourir (cf. art. 89 al. 1 LTF ).</w:t>
      </w:r>
    </w:p>
    <w:p>
      <w:r>
        <w:rPr>
          <w:b/>
        </w:rPr>
        <w:t>E. 2</w:t>
      </w:r>
    </w:p>
    <w:p>
      <w:r>
        <w:t>Conformément à l' art. 106 al. 1 LTF et sous réserve des situations visées à l' art. 106 al. 2 LTF , le Tribunal fédéral applique le droit d'office. En vertu de l' art. 42 al. 2 LTF toutefois, les motifs doivent exposer succinctement en quoi l'acte attaqué viole le droit. Compte tenu de cette exigence de motivation, le Tribunal fédéral n'examine en principe que les griefs soulevés; il n'est pas tenu de traiter, à l'instar d'une autorité de première instance, toutes les questions juridiques qui peuvent se poser, lorsqu'elles ne sont plus discutées devant lui, sauf en présence d'une violation du droit évidente ( ATF 142 I 99 consid. 1.7.1; 140 III 115 consid. 2; 138 I 274 consid. 1.6; cf. aussi arrêts 2C_677/2020 du 9 juin 2021 consid. 2.1; 2C_206/2019 du 25 mars 2021 consid. 5.1; 2C_530/2020 du 19 août 2021 consid. 2.1). Par conséquent, le recourant doit exposer en quoi l'arrêt attaqué viole le droit. Il doit en discuter les motifs, en indiquant en quoi il estime que l'autorité précédente a méconnu le droit (cf. ATF 142 I 99 consid. 1.7.1; 140 III 86 consid. 2; cf. aussi notamment les arrêts 5A_446/2021 du 29 novembre 2021 consid. 2.1; 2C_738/2018 du 2 novembre 2021 consid. 2.2; 2C_746/2021 du 4 novembre 2021 consid. 3.1; 2C_860/2019 du 22 mars 2021 consid. 1.5.1).</w:t>
      </w:r>
    </w:p>
    <w:p>
      <w:r>
        <w:rPr>
          <w:b/>
        </w:rPr>
        <w:t>E. 3</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Il appartient au recourant de le démontrer de manière claire et précise ( art. 106 al. 2 LTF ; ATF 145 I 26 consid. 1.3). Les faits invoqués de manière appellatoire sont irrecevables ( ATF 145 I 26 consid. 1.3; 144 II 281 consid. 3.6.2)</w:t>
      </w:r>
    </w:p>
    <w:p>
      <w:r>
        <w:rPr>
          <w:b/>
        </w:rPr>
        <w:t>E. 4</w:t>
      </w:r>
    </w:p>
    <w:p>
      <w:r>
        <w:t>En l'espèce, le recourant fait valoir plusieurs violations de dispositions de droit fédéral, singulièrement de la LIFD, ainsi que des dispositions correspondantes du droit cantonal. Il reproche aussi au Tribunal cantonal d'avoir retenu que B.________ SA était économiquement liquidée et soutient que l'instance précédente a violé les règles de répartition du fardeau de la preuve sur ce point.</w:t>
      </w:r>
    </w:p>
    <w:p>
      <w:r>
        <w:rPr>
          <w:b/>
        </w:rPr>
        <w:t>E. 4.1</w:t>
      </w:r>
    </w:p>
    <w:p>
      <w:r>
        <w:t>Il ressort du mémoire de recours que les griefs de violations du droit fédéral et des dispositions correspondantes du droit cantonal sont exclusivement dirigés contre l'Administration cantonale, sans aucun lien avec le raisonnement juridique conduit par les juges précédents. Le recourant ne discute en effet pas les motifs de l'arrêt attaqué pour expliquer, même succinctement, en quoi ceux-ci seraient contraires au droit. Ces griefs sont partant irrecevables (cf. supra consid. 2). En outre, le raisonnement détaillé figurant dans l'arrêt attaqué ne fait nullement apparaître l'existence d'une violation manifeste du droit fédéral par l'instance précédente.</w:t>
      </w:r>
    </w:p>
    <w:p>
      <w:r>
        <w:rPr>
          <w:b/>
        </w:rPr>
        <w:t>E. 4.2</w:t>
      </w:r>
    </w:p>
    <w:p>
      <w:r>
        <w:t>Quant au grief par lequel le recourant reproche au Tribunal cantonal d'avoir retenu que B.________ SA était une société économiquement liquidée, il concerne l'établissement des faits. Or le recourant, qui ne cite ni l' art. 97 LTF ni l' art. 9 Cst. , se limite à opposer sa propre version des faits à celle du Tribunal cantonal. En outre, il ne démontre pas en quoi le constat prétendument erroné des juges précédents serait décisif pour le sort de la cause. Son grief, formulé de manière purement appellatoire, est partant également irrecevable (cf. supra consid. 3).</w:t>
      </w:r>
    </w:p>
    <w:p>
      <w:r>
        <w:rPr>
          <w:b/>
        </w:rPr>
        <w:t>E. 4.3</w:t>
      </w:r>
    </w:p>
    <w:p>
      <w:r>
        <w:t>Le recourant fait encore valoir que le Tribunal cantonal a violé les règles de répartition du fardeau de la preuve en lien avec le point de savoir si B.________ SA était économiquement liquidée.</w:t>
      </w:r>
    </w:p>
    <w:p>
      <w:r>
        <w:t>Selon la jurisprudence, quand l'instance précédente s'est forgée une conviction et tient un fait pour établi, la question du fardeau de la preuve ne se pose plus ( ATF 137 III 226 consid. 4.3; 128 III 22 consid. 2d; arrêts 2C_1025/2020 du 3 mars 2021 consid. 2.5.2; 2C_1144/2018 du 10 mars 2020 consid. 7). On se trouve dans une telle situation dans le cas en l'espèce, puisque le Tribunal cantonal a constaté que B.________ SA était une société économiquement liquidée. Par conséquent, le grief de violation des règles du fardeau de la preuve est sans objet.</w:t>
      </w:r>
    </w:p>
    <w:p>
      <w:r>
        <w:rPr>
          <w:b/>
        </w:rPr>
        <w:t>E. 5</w:t>
      </w:r>
    </w:p>
    <w:p>
      <w:r>
        <w:t>Les considérants qui précèdent conduisent au rejet du recours, qui s'avère manifestement infondé (cf. art. 109 LTF ), dans la faible mesure de sa recevabilité.</w:t>
      </w:r>
    </w:p>
    <w:p>
      <w:r>
        <w:rPr>
          <w:b/>
        </w:rPr>
        <w:t>E. 6</w:t>
      </w:r>
    </w:p>
    <w:p>
      <w:r>
        <w:t>Le recourant, qui succombe, supportera les frais de justice devant le Tribunal fédéral.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