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2C_523/2020 vom 4. November 2020</w:t>
      </w:r>
    </w:p>
    <w:p>
      <w:r>
        <w:t>Bundesgericht, 2020-11-04, DE</w:t>
      </w:r>
    </w:p>
    <w:p>
      <w:r>
        <w:rPr>
          <w:b/>
        </w:rPr>
        <w:t xml:space="preserve">Quelle: </w:t>
      </w:r>
      <w:r>
        <w:t>https://mcp.opencaselaw.ch/entscheid/bger_2C_523_2020</w:t>
      </w:r>
    </w:p>
    <w:p>
      <w:r>
        <w:t>FR: TF 2C_523/2020 du 4 novembre 2020</w:t>
      </w:r>
    </w:p>
    <w:p>
      <w:r>
        <w:t>IT: TF 2C_523/2020 del 4 novembre 2020</w:t>
      </w:r>
    </w:p>
    <w:p>
      <w:pPr>
        <w:pStyle w:val="Heading2"/>
      </w:pPr>
      <w:r>
        <w:t>Erwägungen</w:t>
      </w:r>
    </w:p>
    <w:p>
      <w:r>
        <w:rPr>
          <w:b/>
        </w:rPr>
        <w:t>E. 1.1</w:t>
      </w:r>
    </w:p>
    <w:p>
      <w:r>
        <w:t>Das Verwaltungsgericht des Kantons Graubünden entscheidet in Sicherstellungsfällen als einzige und obere kantonale Gerichtsbehörde ( Art. 169 Abs. 3 DBG in Verbindung mit Art. 166 Abs. 3 des Steuergesetzes [des Kantons Graubünden] vom 8. Juni 1986 [StG/GR; BR 720.000]). Der angefochtene Entscheid stellt einen Endentscheid dar ( BGE 134 II 349 E. 1.3 und 1.4 S. 351), zugleich aber auch einen Entscheid über eine vorsorgliche Massnahme gemäss Art. 98 BGG ( BGE 134 II 349 E. 3 S. 351 [StHG]; Urteil 2C_669/2016 / 2C_670/2016 vom 8. Dezember 2016 E. 1.2.2 [DBG]). Die Voraussetzungen der Beschwerde in öffentlich-rechtlichen Angelegenheiten liegen vor (Art. 82 lit. a, Art. 83 e contrario, Art. 86 Abs. 1 lit. d und Abs. 2, Art. 89 Abs. 1, Art. 90 und Art. 100 Abs. 1 BGG in Verbindung mit Art. 146 DBG [SR 642.11] und Art. 73 StHG [SR 642.14]). Auf die Beschwerde ist einzutreten.</w:t>
      </w:r>
    </w:p>
    <w:p>
      <w:r>
        <w:rPr>
          <w:b/>
        </w:rPr>
        <w:t>E. 1.2</w:t>
      </w:r>
    </w:p>
    <w:p>
      <w:r>
        <w:t>Die Qualifikation des angefochtenen Entscheids als vorsorgliche Massnahme im Sinne von Art. 98 BGG hat Auswirkungen auf die Kognition: Das Bundesgericht wendet das Bundesrecht, wozu das Recht der direkten Bundessteuer zählt ( Art. 128 BV ), grundsätzlich von Amtes wegen an ( Art. 106 Abs. 1 BGG ; BGE 146 IV 88 E. 1.3.2 S. 92) und prüft es mit uneingeschränkter (voller) Kognition ( Art. 95 lit. a BGG ; BGE 145 I 239 E. 2 S. 241). Im Anwendungsbereich von Art. 98 BGG ist die Prüfungsbefugnis indes auf die Frage beschränkt, ob der angefochtene Entscheid in verfassungsmässige Individualrechte der beschwerdeführenden Person eingreife ( BGE 138 III 728 E. 2.3 S. 729 f.). Im Unterschied zu Art. 95 lit. a BGG kann folglich nicht jeder Verstoss gegen Verfassungsrecht gerügt werden, verschaffen doch nicht alle Verfassungsbestimmungen auch ein verfassungsmässiges Recht. Individualrechte verleihen die Grundrechte ( Art. 7-33 BV ), die politischen und die Bürgerrechte ( Art. 34 und 37 BV ), sodann organisatorische Bestimmungen, die zugleich die Rechtsstellung der Einzelnen regeln, ferner auch die Rechte aus internationalen Menschenrechtskonventionen (Urteil 2C_287/2018 vom 21. September 2018 E. 1.3, nicht publ. in: BGE 144 I 340 ). Beim allgemeinen Verhältnismässigkeitsgrundsatz gemäss Art. 5 Abs. 2 BV handelt es sich nicht um ein verfassungsmässiges Recht, sondern lediglich um ein Verfassungsprinzip ( BGE 134 I 153 E. 4.1 S. 156 ; 125 I 161 E. 2b S. 163), dessen Verletzung im Rahmen von Art. 98 BGG nur zusammen mit einem verfassungsmässigen Individualrecht angerufen werden kann (Urteile 2C_543/2018 vom 30. Oktober 2018 E. 4.2; 4A_146/ 2010 vom 2. Juni 2010 E. 5.2.2).</w:t>
      </w:r>
    </w:p>
    <w:p>
      <w:r>
        <w:rPr>
          <w:b/>
        </w:rPr>
        <w:t>E. 1.3</w:t>
      </w:r>
    </w:p>
    <w:p>
      <w:r>
        <w:t>Die Verletzung von verfassungsmässigen Rechten (einschliesslich der Grundrechte) und von kantonalem (einschliesslich kommunalem) und interkantonalem Recht prüft das Bundesgericht aber in jedem Fall nur, falls eine solche Rüge in der Beschwerde überhaupt vorgebracht und ausreichend begründet worden ist (qualifizierte Rüge- und Begründungspflicht gemäss Art. 106 Abs. 2 BGG ). Die beschwerdeführende Person hat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1.4</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w:t>
      </w:r>
    </w:p>
    <w:p>
      <w:r>
        <w:t>II. Direkte Bundessteuer</w:t>
      </w:r>
    </w:p>
    <w:p>
      <w:r>
        <w:rPr>
          <w:b/>
        </w:rPr>
        <w:t>E. 2.1</w:t>
      </w:r>
    </w:p>
    <w:p>
      <w:r>
        <w:t>Art. 169 Abs. 1 DBG bestimmt: "Hat der Steuerpflichtige keinen Wohnsitz in der Schweiz oder erscheint die Bezahlung der von ihm geschuldeten Steuer als gefährdet, so kann die kantonale Verwaltung für die direkte Bundessteuer auch vor der rechtskräftigen Feststellung des Steuerbetrages jederzeit Sicherstellung verlangen. Der Voraussetzungssatz von Art. 169 Abs. 1 DBG kennt damit zwei alternative Fallkonstellationen, den fehlenden Wohnsitz in der Schweiz (besonderer Sicherstellungsgrund) und die aus anderen Gründen gefährdete Bezahlung der geschuldeten Steuern (allgemeiner Sicherstellungsgrund). Der besondere Sicherstellungsgrund findet seine Rechtfertigung darin, dass eine öffentlich-rechtliche Forderung der Eidgenossenschaft, eines Kantons oder einer Gemeinde international grundsätzlich nicht vollstreckt werden kann (Urteil 2C_669/2016 / 2C_670/2016 vom 8. Dezember 2016 E. 2.1). Eine internationale steuerrechtliche Inkassoamtshilfe zugunsten der Schweiz ist zur Zeit lediglich gestützt auf das DBA CH-AT (SR 0.672.916.31) möglich, und auch dies nur in beschränktem Umfang (Urteil 2C_705/2016 vom 10. November 2016 E. 3.1; zum Ganzen: Martin Kocher, in: Martin Zweifel/Michael Beusch/René Matteotti [Hrsg.], Komm. Internationales Steuerrecht, 2015, N. 76 ff. zu Art. 27 OECD-MA;</w:t>
      </w:r>
    </w:p>
    <w:p>
      <w:r>
        <w:t>ders ., in: Martin Zweifel/Michael Beusch/Stefan Oesterhelt [Hrsg.], Amtshilfe, 2020, § 21 N 35 ff. und 151 ff.;</w:t>
      </w:r>
    </w:p>
    <w:p>
      <w:r>
        <w:t>ders ., Grundlagen einer steuerlichen Inkassoamtshilfe zugunsten ausländischer Staaten [Art. 27 OECD-MA], in: ZBJV 151/2015 S. 187, insb. 194 und 227). Das hier interessierende DBA CH-AE (SR 0.672.932.51) sieht die Inkassoamtshilfe nicht vor.</w:t>
      </w:r>
    </w:p>
    <w:p>
      <w:r>
        <w:rPr>
          <w:b/>
        </w:rPr>
        <w:t>E. 2.2.1</w:t>
      </w:r>
    </w:p>
    <w:p>
      <w:r>
        <w:t>Bei der Sicherstellung im Sinne von Art. 169 DBG handelt es sich um eine vorläufige Massnahme; sie hat keinen Einfluss auf Bestand und Höhe der Steuerforderung. Da begriffsnotwendig Gefahr im Verzug liegt, muss die Sicherstellung rasch angeordnet werden können, sie ist aber auch jederzeit abzuändern oder aufzuheben, wenn die Umstände eine andere Beurteilung nahelegen. Die gebotene Raschheit des abgaberechtlichen Sicherstellungsverfahrens hat Auswirkungen auf das Beweismass. Die Praxis verlangt nur, aber immerhin, dass die rechtserheblichen Sachumstände (steuerpflichtige Person, geschuldete Steuer, Sicherstellungsgrund glaubhaft gemacht werden (Urteile 2C_689/2019 vom 15. August 2019 E. 1.2; 2C_669/2016 / 2C_670/2016 vom 8. Dezember 2016 E. 2.3.2).</w:t>
      </w:r>
    </w:p>
    <w:p>
      <w:r>
        <w:rPr>
          <w:b/>
        </w:rPr>
        <w:t>E. 2.2.2</w:t>
      </w:r>
    </w:p>
    <w:p>
      <w:r>
        <w:t>Glaubhaft gemacht ist ein Sachumstand, wenn die Existenz einer rechtserheblichen Tatsache aufgrund objektiver Anhaltspunkte mit einer "gewissen Wahrscheinlichkeit" feststeht, selbst wenn die Behörde noch mit der Möglichkeit rechnet, dass sie sich nicht verwirklicht haben könnte ( BGE 142 II 49 E. 6.2 S. 58 mit Hinweisen). Was von der Veranlagungsbehörde zulässigerweise unter dem Aspekt der blossen Glaubhaftmachung geprüft werden durfte, darf die kantonale Gerichtsbehörde ebenso zulässigerweise einer reinen</w:t>
      </w:r>
    </w:p>
    <w:p>
      <w:r>
        <w:t>Prima-facie -Würdigung unterziehen. Was im kantonalen Verfahren nur glaubhaft zu machen ist, würdigt das Bundesgericht ebenso</w:t>
      </w:r>
    </w:p>
    <w:p>
      <w:r>
        <w:t>prima facie (Urteil 2C_689/2019 vom 15. August 2019 E. 1.2).</w:t>
      </w:r>
    </w:p>
    <w:p>
      <w:r>
        <w:rPr>
          <w:b/>
        </w:rPr>
        <w:t>E. 2.3.1</w:t>
      </w:r>
    </w:p>
    <w:p>
      <w:r>
        <w:t>Die Vorinstanz hatte zu prüfen, ob es der Veranlagungsbehörde gelungen sei, die für eine Sicherstellung erheblichen Sachumstände (steuerpflichtige Person, geschuldete Steuer, Wegzug als Sicherstellungsgrund) glaubhaft zu machen. Im bundesgerichtlichen Verfahren sind die bisherige unbeschränkte Steuerpflicht, der Wegzug ins Ausland, Bestand und Höhe der mutmasslichen, noch offenen Steuern unbestritten. Die Einwände des Steuerpflichtigen gehen im Wesentlichen dahin, mit Blick insbesondere auf den Hinterlegungsvertrag (Sachverhalt, lit. B.a), die mit der Einräumung eines Faustpfands an den genannten Aktien verbunden war (Sachverhalt, lit. B.b), erübrige sich jede Sicherstellung. Das Vermögen des Steuerpflichtigen sei nahezu vollständig hinterlegt worden, was sich in der bescheidenen Ausbeute der Arrestlegung - die Rede ist von rund Fr. 60'000.-- (Sachverhalt, lit. E) - manifestiere.</w:t>
      </w:r>
    </w:p>
    <w:p>
      <w:r>
        <w:rPr>
          <w:b/>
        </w:rPr>
        <w:t>E. 2.3.2</w:t>
      </w:r>
    </w:p>
    <w:p>
      <w:r>
        <w:t>Mit Blick auf die tatsächlichen Feststellungen der Vorinstanz, die insofern unbestritten geblieben und daher für das Bundesgericht verbindlich sind ( Art. 105 Abs. 1 BGG ; vorne E. 1.4), liegt ein Fall des Wegzugs ins Ausland und damit des Entfallens der bisherigen persönlichen Zugehörigkeit zur Schweiz, dem Kanton Graubünden und der Gemeinde U.________/GR vor. Der Tatbestand von Art. 169 Abs. 1 DBG (in der Form des besonderen Sicherstellungsgrundes; vorne E. 2.1) ist zweifelsfrei gegeben. Die Rechtsfolge des erfüllten Tatbestandes liegt in der Möglichkeit, die Sicherstellung zu verlangen. Das Gesetz spricht von "kann", was ein Entschliessungsermessen zum Ausdruck bringt. Bestand, Höhe und Art der verlangten Sicherstellung haben dem Gebot der Verhältnismässigkeit zu genügen ( Art. 5 Abs. 2 BV ). Das Gebot der Verhältnismässigkeit verlangt, dass eine behördliche Massnahme für das Erreichen des im öffentlichen Interesse liegenden Ziels geeignet und erforderlich ist und sich für die Betroffenen in Anbetracht der Schwere der Grundrechtseinschränkung als zumutbar erweist ( BGE 146 I 70 E. 6.4 S. 80).</w:t>
      </w:r>
    </w:p>
    <w:p>
      <w:r>
        <w:rPr>
          <w:b/>
        </w:rPr>
        <w:t>E. 2.3.3</w:t>
      </w:r>
    </w:p>
    <w:p>
      <w:r>
        <w:t>Vorab ist festzuhalten, dass im Fall einer Forderung, die bereits mit einem Pfand gesichert ist, grundsätzlich kein weiteres Sicherungsbedürfnis besteht (Hans Frey, Sicherstellungsverfügung und Arrestbefehl im Gesetz über die direkte Bundessteuer [DBG], 2009, S. 191). Die Frage, ob mit Blick auf die Pfandnahme eine exzessive Sicherung vorliege, hängt zum einen von der Höhe der mutmasslichen Steuerforderung, zum andern vom Wert der hinterlegten Aktien ab. Vermöchte die Verwertung des Faustpfands den noch offenen Betrag von rund Fr. 50'000'000.-- (Sachverhalt, lit. D.b) zu decken, wären die streitbetroffenen Gemeinwesen befriedigt und bestände kein Anlass zu einer weitergehenden Sicherstellung bzw. Arrestlegung. Zur entscheidenden Substanzfrage ist dem angefochtenen Entscheid zu entnehmen, dass aus dem Abschluss der C.________ AG zum Geschäftsjahr 2012 eine Überschuldung hervorgehe. Einen jüngeren Abschluss als jenen zum Jahr 2012 habe der Steuerpflichtige nicht vorgelegt (Sachverhalt, lit. D.c). Der Steuerpflichtige hält dem im Wesentlichen nur ein widersprüchliches Verhalten seitens der Veranlagungsbehörde entgegen. Die Veranlagungsbehörde habe bis zur Steuerperiode 2019 "konsequent ein Vermögen von Fr. 200'000'000.--" veranlagt (Sachverhalt, lit. E).</w:t>
      </w:r>
    </w:p>
    <w:p>
      <w:r>
        <w:rPr>
          <w:b/>
        </w:rPr>
        <w:t>E. 2.3.4</w:t>
      </w:r>
    </w:p>
    <w:p>
      <w:r>
        <w:t>Hierzu ist folgendes zu sagen: Zum einen liegen zu diesen Steuerperioden noch keine rechtskräftige Veranlagungsverfügungen vor, worauf der Steuerpflichtige andernorts hinweist, da er Rechtsmittel ergriffen habe. Ob dereinst tatsächlich ein Nettovermögen von Fr. 200'000'000.-- veranlagt werden wird, ist daher ungewiss. Zum andern ist es nicht unüblich, dass die Veranlagungsbehörden im Fall noch weitgehend ungesicherter Verhältnisse das Vermögen einstweilen "grosszügig" bemessen, um ausreichende Ratenzahlungen zu bewirken. Ebenso ist es nicht aussergewöhnlich, wenn der Steuerpflichtige die Aktien in der Steuererklärung "zurückhaltend" (mit Fr. 3'000'000.--) deklarierte, um der amtlichen Bewertung der nicht kotierten Papiere nicht vorzugreifen. Weder der eine noch der andere Ansatz vermag damit ein verlässliches Indiz abzugeben. Schliesslich ist - immer unter dem Aspekt der</w:t>
      </w:r>
    </w:p>
    <w:p>
      <w:r>
        <w:t>Prima-facie -Prüfung - nicht zu übersehen, dass der Steuerpflichtige Eigentümer von Vermögenswerten ist, die im Jahr 2013 nicht zum Gegenstand des Hinterlegungsvertrags gemacht wurden. So kann insbesondere der Rulinganfrage vom 25. Januar 2019 (Sachverhalt, lit. B.d) entnommen werden, die in den amtlichen Akten liegt und daher sachverhaltsergänzend herbeigezogen werden kann ( Art. 105 Abs. 2 BGG ), dass jedenfalls Anfang 2019 zwei Stämme von Beteiligungen bestanden. Über den Wert des einen und des anderen Stammes ist freilich nichts Näheres bekannt.</w:t>
      </w:r>
    </w:p>
    <w:p>
      <w:r>
        <w:rPr>
          <w:b/>
        </w:rPr>
        <w:t>E. 2.3.5</w:t>
      </w:r>
    </w:p>
    <w:p>
      <w:r>
        <w:t>Umso mehr hätte vom Steuerpflichtigen erwartet werden dürfen, dass er den Wert der Aktien näher ausweist und nicht bloss in allgemeiner Weise vorbringt, das Faustpfand reiche längst, um die Forderungen zu decken. Er hätte es in der Hand gehabt, seine Behauptung substanziert zu begründen, indem er Klarheit geschafft und aktuelle Abschlüsse vorgelegt hätte. Dies hat er unterlassen, weshalb die vorinstanzliche Beweiswürdigung (ungenügende Deckung) jedenfalls nicht verfassungsrechtlich unhaltbar ist. Nachdem die Voraussetzungen von Art. 169 Abs. 1 DBG zumindest glaubhaft gemacht sind liegt im Erlass der Sicherstellungsverfügung vom 17. Juli 2019 keine Willkür.</w:t>
      </w:r>
    </w:p>
    <w:p>
      <w:r>
        <w:rPr>
          <w:b/>
        </w:rPr>
        <w:t>E. 2.3.6</w:t>
      </w:r>
    </w:p>
    <w:p>
      <w:r>
        <w:t>Die Beschwerde erweist sich damit als unbegründet. Sie ist abzuweisen. Dies schliesst nicht aus, dass die Sicherstellungsverfügung in einem späteren Verfahren abzuändern oder aufzuheben wäre, sofern eine hinreichende Begründung vorläge (vorne E. 2.2.1).</w:t>
      </w:r>
    </w:p>
    <w:p>
      <w:r>
        <w:t>III. Staats-, Gemeinde- und Kirchensteuern</w:t>
      </w:r>
    </w:p>
    <w:p>
      <w:r>
        <w:t>des Kantons Graubünden</w:t>
      </w:r>
    </w:p>
    <w:p>
      <w:r>
        <w:rPr>
          <w:b/>
        </w:rPr>
        <w:t>E. 3</w:t>
      </w:r>
    </w:p>
    <w:p>
      <w:r>
        <w:t>Wenngleich das Sicherstellungsrecht von Bundesrechts wegen nicht harmonisiert worden ist und der Kanton Graubünden diesbezüglich über eine weitreichende Regelungsfreiheit verfügt, ist festzustellen, dass Art. 158 Abs. 1 StG /GR mit Art. 169 Abs. 1 DBG dem Inhalt, Sinn und Zweck nach übereinstimmt. Es kann mithin auf die Darlegungen zur direkten Bundessteuer verwiesen werden.</w:t>
      </w:r>
    </w:p>
    <w:p>
      <w:r>
        <w:t>IV. Kosten und Entschädigung</w:t>
      </w:r>
    </w:p>
    <w:p>
      <w:r>
        <w:rPr>
          <w:b/>
        </w:rPr>
        <w:t>E. 4</w:t>
      </w:r>
    </w:p>
    <w:p>
      <w:r>
        <w:t>Nach dem Unterliegerprinzip (Art. 65 i. V. m. Art. 66 Abs. 1 BGG ) sind die Kosten des bundesgerichtlichen Verfahrens dem Steuerpflichtigen aufzuerlegen. Dem Kanton Graubünden,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