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2C_523/2007 vom 5. Februar 2008</w:t>
      </w:r>
    </w:p>
    <w:p>
      <w:r>
        <w:t>Bundesgericht, 2008-02-05, DE</w:t>
      </w:r>
    </w:p>
    <w:p>
      <w:r>
        <w:rPr>
          <w:b/>
        </w:rPr>
        <w:t xml:space="preserve">Quelle: </w:t>
      </w:r>
      <w:r>
        <w:t>https://mcp.opencaselaw.ch/entscheid/bger_2C_523_2007</w:t>
      </w:r>
    </w:p>
    <w:p>
      <w:r>
        <w:t>FR: TF 2C_523/2007 du 5 février 2008</w:t>
      </w:r>
    </w:p>
    <w:p>
      <w:r>
        <w:t>IT: TF 2C_523/2007 del 5 febbraio 2008</w:t>
      </w:r>
    </w:p>
    <w:p>
      <w:pPr>
        <w:pStyle w:val="Heading2"/>
      </w:pPr>
      <w:r>
        <w:t>Erwägungen</w:t>
      </w:r>
    </w:p>
    <w:p>
      <w:r>
        <w:rPr>
          <w:b/>
        </w:rPr>
        <w:t>E. 1.1</w:t>
      </w:r>
    </w:p>
    <w:p>
      <w:r>
        <w:t>Die Beschwerde richtet sich gegen den Entscheid einer letzten kantonalen Instanz in einer Angelegenheit des öffentlichen Rechts. Die nicht näher bezeichnete Beschwerde ist demnach sowohl hinsichtlich der kantonalen Steuern als auch der direkten Bundessteuer als solche in öffentlich-rechtlichen Angelegenheiten entgegenzunehmen ( Art. 82 lit. a und Art. 86 Abs. 1 lit. d BGG ). Eine Ausnahme gemäss Art. 83 BGG liegt nicht vor, weshalb sich die Beschwerde als zulässig erweist.</w:t>
      </w:r>
    </w:p>
    <w:p>
      <w:r>
        <w:rPr>
          <w:b/>
        </w:rPr>
        <w:t>E. 1.2</w:t>
      </w:r>
    </w:p>
    <w:p>
      <w:r>
        <w:t>Mit der Beschwerde kann eine Rechtsverletzung nach Art. 95 und 96 BGG , insbesondere ein Verstoss gegen Bundesrecht, geltend gemacht werden. Das Bundesgericht wendet das Recht von Amtes wegen an ( Art. 106 Abs. 1 BGG ). Es prüft jedoch,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w:t>
      </w:r>
    </w:p>
    <w:p>
      <w:r>
        <w:rPr>
          <w:b/>
        </w:rPr>
        <w:t>E. 1.3</w:t>
      </w:r>
    </w:p>
    <w:p>
      <w:r>
        <w:t>Nach Art. 99 BGG dürfen neue Tatsachen und Beweismittel nur so weit vorgebracht werden, als erst der Entscheid der Vorinstanz dazu Anlass gibt. Der Beschwerdeführer reichte mit der Beschwerdeschrift mehrere Beilagen ein, die sich nicht in den Akten der kantonalen Instanzen befinden. Er behauptet allerdings, diese schon spätestens der Steuerrekurskommission eingereicht zu haben. Wie es sich damit verhält, kann offen bleiben, denn am Ergebnis ändert sich dadurch so oder so nichts.</w:t>
      </w:r>
    </w:p>
    <w:p>
      <w:r>
        <w:rPr>
          <w:b/>
        </w:rPr>
        <w:t>E. 2.1</w:t>
      </w:r>
    </w:p>
    <w:p>
      <w:r>
        <w:t>Bei der direkten Bundessteuer gilt für verheiratete Personen grundsätzlich die Ehegattenbesteuerung. Sofern sie in rechtlich und tatsächlich ungetrennter Ehe leben, wird ihr Einkommen gemäss Art. 9 Abs. 1 des Bundesgesetzes vom 14. Dezember 1990 über die direkte Bundessteuer (DBG; SR 642.11) ohne Rücksicht auf den Güterstand zusammengerechnet. Zivilrechtlich können Ehegatten ihren Wohnsitz je selbständig bestimmen (vgl. Art. 23 ZGB ), was auch bei der Festsetzung des Steuerdomizils zu berücksichtigen ist (vgl. ASA 71 S. 558, E. 2a). Eine getrennte bzw. selbständige Besteuerung von jedem Ehepartner erfordert jedoch nach Art. 9 Abs. 1 DBG , dass die Gatten in rechtlich oder tatsächlich getrennter Ehe leben.</w:t>
      </w:r>
    </w:p>
    <w:p>
      <w:r>
        <w:rPr>
          <w:b/>
        </w:rPr>
        <w:t>E. 2.2</w:t>
      </w:r>
    </w:p>
    <w:p>
      <w:r>
        <w:t>Im vorliegenden Fall wohnt der beschwerdeführende Ehemann in der Schweiz, seine Ehefrau in Deutschland. Es ist nicht strittig, dass die Ehegatten zur Vermeidung der internationalen Doppelbesteuerung getrennt zu besteuern sind. Umstritten sind aber die Faktoren zur Festlegung des Steuersatzes. Nach der Praxis sind diese gemeinsam zu bestimmen, solange die Ehegatten in rechtlich und tatsächlich ungetrennter Ehe leben. Die Rechtslage unterscheidet sich bei den Steuerfaktoren somit nicht von der Situation, bei der beide Ehegatten der schweizerischen Steuerhoheit unterworfen sind: Zwar unterliegt nur der in der Schweiz lebende Gatte der hiesigen Steuerhoheit, zur Festlegung des satzbestimmenden Einkommens sind aber die Einkünfte des im Ausland lebenden Gatten heranzuziehen (Kreisschreiben Nr. 14 der Eidgenössischen Steuerverwaltung vom 12. Juli 1994 in ASA 63 S. 288 mit Verweis auf die bundesgerichtliche Rechtsprechung seit - schon - ASA 19 S. 24). Als Ausgleich dafür ist diesfalls der Tarif für Verheiratete anwendbar.</w:t>
      </w:r>
    </w:p>
    <w:p>
      <w:r>
        <w:rPr>
          <w:b/>
        </w:rPr>
        <w:t>E. 2.3</w:t>
      </w:r>
    </w:p>
    <w:p>
      <w:r>
        <w:t>Damit steuerrechtlich von einer massgeblichen rechtlichen oder tatsächlichen Trennung der Ehegatten auszugehen ist, müssen kumulativ die folgenden Voraussetzungen erfüllt sein: Beide Ehegatten haben gestützt auf Art. 23 ZGB einen eigenen Wohnsitz bzw. verfügen über getrennte Wohnstätten. Sodann müssen die Ehegatten die eheliche Gemeinschaft aufgehoben haben; besteht diese, wenn auch nur mit sporadischem Gemeinschaftsleben, weiter, gilt die Ehe steuerrechtlich nicht als getrennt. Eine jeweils selbständige Besteuerung der Ehegatten setzt demnach eine dauernde Trennung und damit eine Aufhebung des gemeinsamen Haushalts bzw. ein Getrenntleben im Sinne von Art. 137 und Art. 175/176 ZGB oder ein Einvernehmen darüber voraus, dass die eheliche Gemeinschaft aufgehoben wird. Solange die Ehegatten (wie etwa bei einer "Wochenendehe") nur über getrennte Wohnsitze bzw. Wohnstätten verfügen, an der ehelichen Gemeinschaft aber festhalten, liegt demnach keine getrennte Ehe im Sinne von Art. 9 Abs. 1 DBG vor. Erforderlich ist schliesslich, dass keine Gemeinschaftlichkeit der Mittel für Wohnung und Lebensunterhalt besteht bzw. dass sich die Unterstützung des einen an den anderen Ehegatten in ziffernmässig bestimmten Beiträgen erschöpft (ASA 71 S. 558, E. 2b; vgl. auch das Kreisschreiben Nr. 14 der Eidgenössischen Steuerverwaltung vom 12. Juli 1994 in ASA 63 S. 284 ff.; Bernhard Greminger, in: Martin Zweifel/Peter Athanas [Hrsg.], Kommentar zum schweizerischen Steuerrecht, Bd. I/2a, Bundesgesetz über die direkte Bundessteuer [DBG], Art. 1-82, Basel/Genf/München 2000, Art. 9 N 1 ff.).</w:t>
      </w:r>
    </w:p>
    <w:p>
      <w:r>
        <w:rPr>
          <w:b/>
        </w:rPr>
        <w:t>E. 2.4</w:t>
      </w:r>
    </w:p>
    <w:p>
      <w:r>
        <w:t>Vorliegend behauptet der Beschwerdeführer selbst nicht, dass seine Ehe nicht mehr gelebt werde. Zwar führt er aus, er lebe seit einigen Jahren von seiner Ehefrau faktisch getrennt, weil diese ihre pflegebedürftige Mutter betreuen müsse. Er macht aber nicht geltend, die Ehe sei gescheitert; die angegebene Begründung spricht denn auch gegen die endgültige Aufgabe der ehelichen Gemeinschaft. Die Vorinstanz gelangte ihrerseits zum Schluss, der Beschwerdeführer habe nicht dargetan, dass es an der Gemeinschaftlichkeit der Mittel fehle; mit seinen geringen Mitteln sei er gar nicht in der Lage, seinen Lebensunterhalt selbst zu bestreiten, so dass er zur Finanzierung seiner Lebensbedürfnisse auf das Einkommen der Ehefrau angewiesen sei. Der Beschwerdeführer wendet dagegen ein, er habe durchaus über genügende Mittel verfügt, insbesondere weil er einen Vorschuss auf künftige Rentennachzahlungen der Alters- und Hinterlassenenversicherung erhalten habe und weil seine Ehefrau ein eigenes Einkommen aus Berufstätigkeit sowie aus der Pflege ihrer Mutter erzielt habe. Woher die Einkünfte der Ehegatten stammen, ist vorliegend aber weitgehend unmassgeblich. Entscheidend ist vielmehr, dass die örtliche Trennung der Ehegatten durch äussere familiäre Umstände und nicht durch die Aufgabe der ehelichen Gemeinschaft begründet ist. Etwas anderes behauptet auch der Beschwerdeführer nicht.</w:t>
      </w:r>
    </w:p>
    <w:p>
      <w:r>
        <w:rPr>
          <w:b/>
        </w:rPr>
        <w:t>E. 2.5</w:t>
      </w:r>
    </w:p>
    <w:p>
      <w:r>
        <w:t>Im Übrigen hat der Beschwerdeführer dem Bundesgericht eine Lohnbestätigung der Y.________ AG eingereicht. Ob es sich dabei um ein unzulässiges Novum handelt, ist unklar (vgl. E. 1.3). Würde es sich aber um ein zu beachtendes Aktenstück handeln, so wäre nicht nur der Lohnbezug zu berücksichtigen, sondern auch, dass der Beschwerdeführer gemäss dem Wertschriftenverzeichnis der Steuererklärung an dieser Unternehmung beteiligt ist. Dem öffentlichen Handelsregister lässt sich entnehmen, dass seine Ehefrau, obwohl in Hamburg wohnhaft, bis zum 2. Juni 2005 und insbesondere während der hier fraglichen Steuerperiode zeichnungsberechtigt war. Daraus ergäbe sich eine gewisse wirtschaftliche Verknüpfung der Ehegatten, die klarerweise über die Bezahlung von Unterhaltsbeiträgen hinausginge.</w:t>
      </w:r>
    </w:p>
    <w:p>
      <w:r>
        <w:rPr>
          <w:b/>
        </w:rPr>
        <w:t>E. 2.6</w:t>
      </w:r>
    </w:p>
    <w:p>
      <w:r>
        <w:t>Unter diesen Umständen verstösst es nicht gegen Bundesrecht, wenn das Einkommen der im Ausland wohnenden Ehefrau zur Satzbestimmung bei der direkten Bundessteuer beigezogen wird. Da der Beschwerdeführer keine Auskunft über die Einkünfte seiner Ehegattin erteilte, schätzte die Steuerverwaltung diese nach Ermessen. Dagegen und gegen die Höhe der Schätzung wird in der Beschwerde nichts vorgebracht, weshalb darauf auch nicht zurückzukommen ist.</w:t>
      </w:r>
    </w:p>
    <w:p>
      <w:r>
        <w:rPr>
          <w:b/>
        </w:rPr>
        <w:t>E. 3.1</w:t>
      </w:r>
    </w:p>
    <w:p>
      <w:r>
        <w:t>Für die kantonalen Staats- und Gemeindesteuern gilt grundsätzlich dieselbe Rechtslage. Art. 3 Abs. 3 des Bundesgesetzes vom 14. Dezember 1990 über die Harmonisierung der direkten Steuern der Kantone und Gemeinden (StHG; SR 642.14) sieht gleichermassen wie Art. 9 Abs. 1 DBG vor, dass Einkommen und Vermögen von Ehegatten, die in rechtlich und tatsächlich ungetrennter Ehe leben, ohne Rücksicht auf den Güterstand zusammengerechnet werden. Aus den Materialien zur Steuerharmonisierungsvorlage geht hervor, dass Ehegatten wie bei der direkten Bundessteuer (nur) dann getrennt veranlagt werden, wenn die eheliche Gemeinschaft aufgehoben wird (BBl 1983 III 29 f.). Solange die Ehegatten jedoch die eheliche Gemeinschaft aufrecht erhalten, liegt eine ungetrennte Ehe vor (vgl. ASA 73 S. 420, E. 2.4; ASA 71 S. 558, E. 2b/bb; vgl. auch BGE 121 I 14 E. 5c S. 19; Maja Bauer-Balmelli/Markus Nyffenegger, in: Martin Zweifel/Peter Athanas [Hrsg.], Kommentar zum schweizerischen Steuerrecht, Bd. I/1, Bundesgesetz über die Harmonisierung der direkten Steuern der Kantone und Gemeinden [StHG], 2. Aufl., Basel/Genf/München 2002, Art. 3 N 22 ).</w:t>
      </w:r>
    </w:p>
    <w:p>
      <w:r>
        <w:rPr>
          <w:b/>
        </w:rPr>
        <w:t>E. 3.2</w:t>
      </w:r>
    </w:p>
    <w:p>
      <w:r>
        <w:t>Ist für die Staats- und Gemeindesteuern nach denselben Grundsätzen zu verfahren wie für die direkte Bundessteuer, ergibt sich aufgrund der gleichen Zusammenhänge, dass die eheliche Gemeinschaft des Beschwerdeführers mit seiner Ehefrau nicht aufgehoben ist. Der angefochtene Entscheid verstösst somit auch nicht insoweit gegen Bundesrecht, als er bei der Festsetzung des satzbestimmenden Einkommens für die kantonalen Steuern die Einkünfte der Ehefrau mitberücksichtigt.</w:t>
      </w:r>
    </w:p>
    <w:p>
      <w:r>
        <w:rPr>
          <w:b/>
        </w:rPr>
        <w:t>E. 4</w:t>
      </w:r>
    </w:p>
    <w:p>
      <w:r>
        <w:t>Die Beschwerde erweist sich als unbegründet und ist abzuweisen.</w:t>
      </w:r>
    </w:p>
    <w:p>
      <w:r>
        <w:t>Bei diesem Verfahrensausgang wird der unterliegende Beschwerdeführer kostenpflichtig, wobei seinen angespannten finanziellen Verhältnissen bei der Festlegung der Gerichtskosten Rechnung getragen werden kann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