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522/2022 vom 6. Juli 2022</w:t>
      </w:r>
    </w:p>
    <w:p>
      <w:r>
        <w:t>Bundesgericht, 2022-07-06, IT</w:t>
      </w:r>
    </w:p>
    <w:p>
      <w:r>
        <w:rPr>
          <w:b/>
        </w:rPr>
        <w:t xml:space="preserve">Quelle: </w:t>
      </w:r>
      <w:r>
        <w:t>https://mcp.opencaselaw.ch/entscheid/bger_2C_522_2022</w:t>
      </w:r>
    </w:p>
    <w:p>
      <w:r>
        <w:t>FR: TF 2C 522/2022 du 6 juillet 2022</w:t>
      </w:r>
    </w:p>
    <w:p>
      <w:r>
        <w:t>IT: TF 2C 522/2022 del 6 luglio 2022</w:t>
      </w:r>
    </w:p>
    <w:p>
      <w:pPr>
        <w:pStyle w:val="Heading2"/>
      </w:pPr>
      <w:r>
        <w:t>Regeste</w:t>
      </w:r>
    </w:p>
    <w:p>
      <w:r>
        <w:t>Autorizzazione all'esercizio della prostituzione, denegate giustizia | Procedura amministrativa</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147 I 333 consid. 1 e richiami).</w:t>
      </w:r>
    </w:p>
    <w:p>
      <w:r>
        <w:rPr>
          <w:b/>
        </w:rPr>
        <w:t>E. 2.1</w:t>
      </w:r>
    </w:p>
    <w:p>
      <w:r>
        <w:t>La presente vertenza ha per origine una richiesta d'informazioni rivolta alla Polizia cantonale "per la registrazione di attività assimilabili alla prostituzione" nonché "un annuncio di attività" inviato al Comune di X.________ di "prostituzione-assistenti sessuali e massaggiatori per disabili". Non è chiaro se si tratta di un'attività che il qui ricorrente vorrebbe esercitare a titolo personale - in tal caso ponendosi la questione di sapere se l' art. 19c CC si applichi - oppure no. La questione può tuttavia essere lasciata aperta, dato che il gravame, come si vedrà in seguito, sfugge comunque a un esame di merito.</w:t>
      </w:r>
    </w:p>
    <w:p>
      <w:r>
        <w:rPr>
          <w:b/>
        </w:rPr>
        <w:t>E. 2.2</w:t>
      </w:r>
    </w:p>
    <w:p>
      <w:r>
        <w:t>L'atto ricorsuale al Tribunale federale deve contenere i motivi ( art. 42 cpv. 1 LTF ). Nei motivi la parte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134 II 244 consid. 2.2).</w:t>
      </w:r>
    </w:p>
    <w:p>
      <w:r>
        <w:rPr>
          <w:b/>
        </w:rPr>
        <w:t>E. 2.3</w:t>
      </w:r>
    </w:p>
    <w:p>
      <w:r>
        <w:t>Oggetto di giudizio dinanzi a questa Corte può essere unicamente la decisione d'inammissibilità pronunciata dal Tribunale cantonale amministrativo. Ora, nella confusa e prolissa impugnativa all'esame, il ricorrente si limita a formulare generiche critiche di merito, le quali sono però inammissibili, alla luce del giudizio di irricevibilità pronunciato dall'autorità inferiore ( DTF 144 II 184 consid. 1.1), nonché rimproverare all'autorità precedente svariate inesattezze nell'accertamento dei fatti. Omettendo di confrontarsi con l'argomentazione posta a fondamento della sentenza di ultima istanza cantonale, egli non spiega perché la sua impugnativa avrebbe dovuto essere considerata ammissibile. Il ricorso non soddisfa pertanto le esigenze di motivazione dell' art. 42 cpv. 2 LTF .</w:t>
      </w:r>
    </w:p>
    <w:p>
      <w:r>
        <w:rPr>
          <w:b/>
        </w:rPr>
        <w:t>E. 2.4</w:t>
      </w:r>
    </w:p>
    <w:p>
      <w:r>
        <w:t>Premesse queste considerazioni, il ricorso si palesa manifestamente inammissibile e può essere deciso nella procedura semplificata dell' art. 108 cpv. 1 LTF .</w:t>
      </w:r>
    </w:p>
    <w:p>
      <w:r>
        <w:rPr>
          <w:b/>
        </w:rPr>
        <w:t>E. 3</w:t>
      </w:r>
    </w:p>
    <w:p>
      <w:r>
        <w:t>Comunicazione alle parti, al Giudice delegato del Tribunale amministrativo del Cantone Ticino e, per conoscenza, al curatore, avv. Pascal Cattaneo. Losanna, 6 luglio 2022 In nome della II Corte di diritto pubblico del Tribunale federale svizzero La Presidente: F. Aubry Girardin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