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2C_521/2022 vom 30. Juni 2022</w:t>
      </w:r>
    </w:p>
    <w:p>
      <w:r>
        <w:t>Bundesgericht, 2022-06-30, DE</w:t>
      </w:r>
    </w:p>
    <w:p>
      <w:r>
        <w:rPr>
          <w:b/>
        </w:rPr>
        <w:t xml:space="preserve">Quelle: </w:t>
      </w:r>
      <w:r>
        <w:t>https://mcp.opencaselaw.ch/entscheid/bger_2C_521_2022</w:t>
      </w:r>
    </w:p>
    <w:p>
      <w:r>
        <w:t>FR: TF 2C_521/2022 du 30 juin 2022</w:t>
      </w:r>
    </w:p>
    <w:p>
      <w:r>
        <w:t>IT: TF 2C_521/2022 del 30 giugno 2022</w:t>
      </w:r>
    </w:p>
    <w:p>
      <w:pPr>
        <w:pStyle w:val="Heading2"/>
      </w:pPr>
      <w:r>
        <w:t>Erwägungen</w:t>
      </w:r>
    </w:p>
    <w:p>
      <w:r>
        <w:rPr>
          <w:b/>
        </w:rPr>
        <w:t>E. 1.1</w:t>
      </w:r>
    </w:p>
    <w:p>
      <w:r>
        <w:t>A.________ (geb. 1995), marokkanischer Staatsangehöriger, reiste am 30. Mai 2019 in die Schweiz ein und erhielt aufgrund seiner Ehe mit einer Schweizer Bürgerin eine Aufenthaltsbewilligung, die zuletzt bis 1. August 2022 verlängert wurde. Nachdem das Migrationsamt des Kantons Schaffhausen von der Trennung der Eheleute erfahren hatte, widerrief es mit Verfügung vom 28. September 2021 die Aufenthaltsbewilligung von A.________. Den dagegen erhobenen Rekurs wies der Regierungsrat des Kantons Schaffhausen mit Beschluss vom 5. April 2022 ab.</w:t>
      </w:r>
    </w:p>
    <w:p>
      <w:r>
        <w:rPr>
          <w:b/>
        </w:rPr>
        <w:t>E. 1.2</w:t>
      </w:r>
    </w:p>
    <w:p>
      <w:r>
        <w:t>Gegen diesen Entscheid reichte A.________ Beschwerde beim Obergericht des Kantons Schaffhausen ein und beantragte in verfahrensrechtlicher Hinsicht die Gewährung der unentgeltlichen Rechtspflege.</w:t>
      </w:r>
    </w:p>
    <w:p>
      <w:r>
        <w:t>Mit Verfügung des Einzelrichters vom 25. Mai 2022 wies das Obergericht das Gesuch um unentgeltliche Rechtspflege ab und setzte A.________eine Frist an, um den geforderten Kostenvorschuss zu leisten.</w:t>
      </w:r>
    </w:p>
    <w:p>
      <w:r>
        <w:rPr>
          <w:b/>
        </w:rPr>
        <w:t>E. 1.3</w:t>
      </w:r>
    </w:p>
    <w:p>
      <w:r>
        <w:t>A.________ gelangt mit Eingabe vom 27. Juni 2022 (Postaufgabe) an das Bundesgericht. Darin erklärt er, er wolle "Einsprache" gegen die Verfügung vom 25. Mai 2022 erheben.</w:t>
      </w:r>
    </w:p>
    <w:p>
      <w:r>
        <w:t>Es wurden keine Instruktionsmassnahmen angeordnet.</w:t>
      </w:r>
    </w:p>
    <w:p>
      <w:r>
        <w:rPr>
          <w:b/>
        </w:rPr>
        <w:t>E. 2.1</w:t>
      </w:r>
    </w:p>
    <w:p>
      <w:r>
        <w:t>Die angefochtene Verfügung, mit welcher dem Beschwerdeführer für das vorinstanzliche Verfahren die unentgeltliche Rechtspflege verweigert wurde, ist als Zwischenentscheid zu qualifizieren. Für Zwischenentscheide, mit denen die unentgeltliche Rechtspflege verweigert wird, bejaht das Bundesgericht in der Regel die Voraussetzung des nicht wieder gutzumachenden Nachteils (vgl. Art. 93 Abs. 1 lit. a BGG ; BGE 129 I 129 E. 1.1; Urteil 2C_404/2021 vom 2. Juni 2021 E. 1.1).</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und von kantonalem Recht gilt eine qualifizierte Rüge- und Substanziierungspflicht ( Art. 106 Abs. 2 BGG ; BGE 142 I 99 E. 1.7.2 ; 139 I 229 E. 2.2).</w:t>
      </w:r>
    </w:p>
    <w:p>
      <w:r>
        <w:rPr>
          <w:b/>
        </w:rPr>
        <w:t>E. 2.2</w:t>
      </w:r>
    </w:p>
    <w:p>
      <w:r>
        <w:t>Die Vorinstanz hat das Gesuch des Beschwerdeführers um Gewährung der unentgeltlichen Rechtspflege im Wesentlichen deshalb abgewiesen, weil sie aufgrund einer summarischen Prüfung zum Schluss gelangt ist, dass die bei ihr eingereichte Beschwerde aussichtslos sei.</w:t>
      </w:r>
    </w:p>
    <w:p>
      <w:r>
        <w:t>Mit den entsprechenden Erwägungen setzt sich der Beschwerdeführer nicht auseinander und legt nicht dar, inwiefern das angefochtene Urteil Recht verletzt. Vielmehr beschränkt er sich darauf, zu erklären, er wolle gegen die angefochtene Verfügung Einsprache erheben.</w:t>
      </w:r>
    </w:p>
    <w:p>
      <w:r>
        <w:rPr>
          <w:b/>
        </w:rPr>
        <w:t>E. 2.3</w:t>
      </w:r>
    </w:p>
    <w:p>
      <w:r>
        <w:t>Die Beschwerde enthält offensichtlich keine hinreichende Begründung ( Art. 42 Abs. 2 und Art. 106 Abs. 2 BGG ). Es ist darauf mit Entscheid des präsidierenden Mitglieds als Einzelrichterin im vereinfachten Verfahren nach Art. 108 Abs. 1 lit. b und Abs. 2 BGG nicht einzutreten.</w:t>
      </w:r>
    </w:p>
    <w:p>
      <w:r>
        <w:rPr>
          <w:b/>
        </w:rPr>
        <w:t>E. 3</w:t>
      </w:r>
    </w:p>
    <w:p>
      <w:r>
        <w:t>Dem Verfahrensausgang entsprechend wird der unterliegende Beschwerdeführer kostenpflichtig ( Art. 66 Abs. 1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