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2C_520/2018 vom 18. September 2019</w:t>
      </w:r>
    </w:p>
    <w:p>
      <w:r>
        <w:t>Bundesgericht, 2019-09-18, DE</w:t>
      </w:r>
    </w:p>
    <w:p>
      <w:r>
        <w:rPr>
          <w:b/>
        </w:rPr>
        <w:t xml:space="preserve">Quelle: </w:t>
      </w:r>
      <w:r>
        <w:t>https://mcp.opencaselaw.ch/entscheid/bger_2C_520_2018</w:t>
      </w:r>
    </w:p>
    <w:p>
      <w:r>
        <w:t>FR: TF 2C_520/2018 du 18 septembre 2019</w:t>
      </w:r>
    </w:p>
    <w:p>
      <w:r>
        <w:t>IT: TF 2C_520/2018 del 18 settembre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90 BGG ). Namentlich ist die Beschwerdeführerin befugt, sich auf ihre Autonomie zu berufen ( Art. 89 Abs. 2 lit. c BGG ).</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t>Die Beschwerdeführerin kann sich für die Erhebung der Strassenbeiträge auf ihre Autonomie berufen (§§ 90 ff. des Gesetzes des Kantons Basel-Landschaft über die Enteignung; § 36 des Raumplanungs- und Baugesetzes des Kantons Basel-Landschaft sowie Strassenreglement der Stadt Laufen) und in diesem Zusammenhang die willkürliche Anwendung kantonalen oder kommunalen Rechts geltend machen. Soweit die Beschwerdeführerin jedoch die einfache Verletzung (und nicht eine qualifiziert falsche Anwendung) kantonalen oder kommunalen Rechts rügt, ist darauf nicht einzugehen.</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(zum Begriff der Willkür vgl.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genügt den Begründungs- bzw. Rügeanforderungen nicht (vgl. BGE 139 II 404 E. 10.1 S. 445 mit Hinweisen).</w:t>
      </w:r>
    </w:p>
    <w:p>
      <w:r>
        <w:rPr>
          <w:b/>
        </w:rPr>
        <w:t>E. 2.1</w:t>
      </w:r>
    </w:p>
    <w:p>
      <w:r>
        <w:t>Vorliegend hat die Vorinstanz die massgeblichen Rechtsbestimmungen auf Bundes-, Kantons- und Gemeindeebene umfassend wiedergegeben und überzeugend bzw. willkürfrei angewandt, ebenso wie die sich darauf beziehende Rechtsprechung. Sie hat ihre Beurteilung sorgfältig begründet (vgl. E. 1 - 10 S. 3 - 16 des angefochtenen Urteils). Diese Beurteilung läuft im Wesentlichen auf den einen folgenden, entscheidenden Punkt hinaus: Gemäss § 90 Abs. 1 des Gesetzes des Kantons Basel-Landschaft vom 19. Juni 1950 über die Enteignung (EntG/BL) können diejenigen Grundeigentümerinnen und Grundeigentümer oder Baurechtsnehmerinnen und Baurechtsnehmer, welchen durch ein öffentliches Erschliessungswerk besondere Vorteile erwachsen, zu einer angemessenen Beitragsleistung an das Werk herangezogen werden. In Anwendung dieser Bestimmung hat das Kantonsgericht ohne Willkür befunden, dass die Bauarbeiten an der D.________-Strasse den Beschwerdegegnern keinen (genügenden) Sondervorteil verschafften und sie somit auch keiner Beitragspflicht unterworfen werden durften.</w:t>
      </w:r>
    </w:p>
    <w:p>
      <w:r>
        <w:rPr>
          <w:b/>
        </w:rPr>
        <w:t>E. 2.1.1</w:t>
      </w:r>
    </w:p>
    <w:p>
      <w:r>
        <w:t>Das Kantonsgericht hat seine Beurteilung u.a. auf einen Augenschein gestützt und auf dieser Grundlage zahlreiche Elemente einzeln und dann gesamthaft daraufhin untersucht, ob zwischen dem Vorzustand und der seither veränderten Situation eine genügende Verbesserung eingetreten war, um von einem Sondervorteil für die Beschwerdegegner sprechen zu können. Eine genügende Verbesserung hat die Vorinstanz namentlich für folgende Faktoren verneint: Randabschlüsse; von 5 auf 19 erhöhte Anzahl der Entwässerungsschächte; erstmaliger Einbau einer durchgehenden frostsicheren Kofferung als Verbesserung der Erschliessungssituation; erstmalige Erstellung eines (bloss als Mischfläche konzipierten) Trottoirs (mit entsprechend geringer Verbesserung der Sicherheit für die Fussgänger); Verbreiterung des befahrbaren Strassenraums und Erstellung von Ausweichstellen (jeweils im Einmündungsbereich von Privatstrassen mit teilweise blockierter Ein- bzw. Ausfahrt und entsprechender Verringerung einer Vorteilssituation; vgl. zum Ganzen E. 8.1 des kantonsgerichtlichen Urteils).</w:t>
      </w:r>
    </w:p>
    <w:p>
      <w:r>
        <w:rPr>
          <w:b/>
        </w:rPr>
        <w:t>E. 2.1.2</w:t>
      </w:r>
    </w:p>
    <w:p>
      <w:r>
        <w:t>Weiter hat die Vorinstanz die hier massgebliche - und als Sammelstrasse konzipierte - Strasse mit anderen Sammelstrassen im angrenzenden Gebiet verglichen und ist zum Schluss gekommen, dass sie als einzige die im städtischen Strassenreglement vorgegebenen Dimensionen bei weitem nicht erfüllt. Das trägt gemäss der kantonsgerichtlichen Würdigung zusätzlich dazu bei, dass im konkreten Fall kein beitragsrelevanter Sondervorteil ersichtlich ist (vgl. ebenda E. 8.1).</w:t>
      </w:r>
    </w:p>
    <w:p>
      <w:r>
        <w:rPr>
          <w:b/>
        </w:rPr>
        <w:t>E. 2.1.3</w:t>
      </w:r>
    </w:p>
    <w:p>
      <w:r>
        <w:t>Im Sinne einer Gesamtbeurteilung hat das Kantonsgericht ausgeführt, dass der Beschwerdeführerin nicht der Nachweis gelungen ist, wonach die mit dem Neubau der massgeblichen Strasse verbundenen Massnahmen zu einem beitragsrelevanten Sondervorteil für die privaten Beschwerdegegner geführt hätten (vgl. dort E. 8.2).</w:t>
      </w:r>
    </w:p>
    <w:p>
      <w:r>
        <w:rPr>
          <w:b/>
        </w:rPr>
        <w:t>E. 2.2</w:t>
      </w:r>
    </w:p>
    <w:p>
      <w:r>
        <w:t>Dagegen müsste die Beschwerdeführerin vor Bundesgericht zuerst einmal dartun, dass die vorinstanzliche Beurteilung sich auf Sachverhaltsfeststellungen stützt, die sich als unvollständig oder geradezu offensichtlich unrichtig erweisen (vgl. oben E. 1.2).</w:t>
      </w:r>
    </w:p>
    <w:p>
      <w:r>
        <w:rPr>
          <w:b/>
        </w:rPr>
        <w:t>E. 2.2.1</w:t>
      </w:r>
    </w:p>
    <w:p>
      <w:r>
        <w:t>Das versucht die Beschwerdeführerin denn auch mit beträchtlichem Aufwand (vgl. den grössten Teil der 17-seitigen Beschwerdeschrift und der 13-seitigen Replik) und in einer Vielzahl von konkreten Einzelaspekten (von der Trottoirbreite bis zur Anzahl Ausweichstellen, von der Strassenbreite an verschiedenen spezifischen Orten bis zu den vorhandenen Entwässerungsschächten). Jedem einzelnen dieser Detailpunkte halten die Beschwerdegegner eine noch umfangreichere Gegenargumentation entgegen, wonach die Faktengrundlagen im vorliegenden Fall so gelagert seien, dass sie bei den Betroffenen keinen Sondervorteil hervorrufen würden.</w:t>
      </w:r>
    </w:p>
    <w:p>
      <w:r>
        <w:t>Das bundesgerichtliche Verfahren hat jedoch nicht den Zweck, den Sachverhalt umfassend zu überprüfen. Vielmehr beschränkt sich die Überprüfung darauf hin, ob der Sachverhalt offensichtlich unrichtig festgestellt ist (E. 1.3). Dies ist aber nicht der Fall, vielmehr geht es um eine komplexe, zahlreiche Detailfragen umfassende und differenzierte Gesamtbeurteilung, vor allem auf der technischen und erst dann, daran anschliessend, rechtlichen Ebene.</w:t>
      </w:r>
    </w:p>
    <w:p>
      <w:r>
        <w:rPr>
          <w:b/>
        </w:rPr>
        <w:t>E. 2.2.2</w:t>
      </w:r>
    </w:p>
    <w:p>
      <w:r>
        <w:t>Die Beschwerdeführerin sieht in sämtlichen folgenden Punkten eine deutliche Verbesserung für die anliegenden Grundeigentümer: Verbreiterung, Kofferung, Randabschlüsse, Strassenentwässerung, Einmündung, Tempo 30, befahrbares Trottoir, Anpassungen der Strassenbeleuchtung (vgl. Ziff. 13.1 S. 8 der Replik). Sie wirft dem Kantonsgericht überall dort, wo dieses einen der genannten Punkte nicht spezifisch diskutiert oder nicht als vorteilsrelevant eingestuft hat, eine unvollständige Sachverhaltsermittlung vor, was als Rechtsverletzung zu qualifizieren wäre ( BGE 136 II 65 E. 1.4, 134 V 53 E. 4.3). Dem kann aber in mehrfacher Hinsicht nicht gefolgt werden.</w:t>
      </w:r>
    </w:p>
    <w:p>
      <w:r>
        <w:t>Unzulänglich ist der in Bezug auf mehrere Einzelaspekte geäusserte Vorwurf, das Kantonsgericht habe sich auf die Prüfung beschränkt, ob die (Dimensionierungs-) Anforderungen für eine Sammelstrasse erfüllt seien (vgl. oben E. 2.1.2). Das angefochtene Urteil gibt klarerweise nicht nur diese Prüfung wieder, sondern auch einen eingehenden Vergleich zwischen Vor- und Jetzt-Zustand, und zwar unter zahlreichen Fakten-Gesichtspunkten (vgl. oben E. 2.1.1).</w:t>
      </w:r>
    </w:p>
    <w:p>
      <w:r>
        <w:t>Aufgrund dieses eingehenden und umfassenden Vergleichs ist eine unvollständige Sachverhaltsermittlung auch nicht schon dort anzunehmen, wo das Kantonsgericht den Vergleich zwischen Früher und Jetzt nicht ausdrücklich erwähnt oder erklärt hat. Unvollständigkeit ist umso weniger dann gegeben, wenn die Vorinstanz ein spezifisches Argument unbehandelt gelassen haben soll, das im Entscheid des Enteignungsgerichts zu finden ist (vgl. dazu z.B. Ziff. 6 S. 7 der Beschwerdeschrift).</w:t>
      </w:r>
    </w:p>
    <w:p>
      <w:r>
        <w:t>Im angefochtenen Urteil wird der Aspekt "Tempo 30" zwar nicht gesondert als Verbesserung erwähnt oder diskutiert. Dieser Aspekt kann aber ohne weiteres als Teil der umfassenden Prüfung erachtet werden, die das Kantonsgericht während und nach dem Augenschein vorgenommen hat, um namentlich die verkehrsbezogenen Auswirkungen angemessen zu würdigen. Daneben bleibt im gleichen Urteil z.B. die verbesserte Strassenbeleuchtung ebenfalls unerwähnt. Es darf jedoch durchaus davon ausgegangen werden, dass dieses Element am Rande der vorinstanzlichen Gesamtbeurteilung die ihm gebührende Berücksichtigung und Gewichtung erfahren hat.</w:t>
      </w:r>
    </w:p>
    <w:p>
      <w:r>
        <w:rPr>
          <w:b/>
        </w:rPr>
        <w:t>E. 2.2.3</w:t>
      </w:r>
    </w:p>
    <w:p>
      <w:r>
        <w:t>Inwiefern die vorinstanzliche Sachverhaltsermittlung bzw. Beweiswürdigung geradezu willkürlich sein soll, ist noch weniger erkennbar, sei es in den zahlreichen Einzelaspekten oder aber hinsichtlich der darauf beruhenden Gesamtbeurteilung. Insbesondere kann es durchaus sein, dass der Neubau in bestimmten, wenig wesentlichen Detailaspekten sogar zu einer deutlichen Verbesserung geführt hat und alle Elemente sich doch - nach Abwägung sämtlicher Vor- und Nachteile - nicht zu einem beitragsrelevanten Sondervorteil summieren.</w:t>
      </w:r>
    </w:p>
    <w:p>
      <w:r>
        <w:rPr>
          <w:b/>
        </w:rPr>
        <w:t>E. 2.3</w:t>
      </w:r>
    </w:p>
    <w:p>
      <w:r>
        <w:t>Die Beschwerdeführerin vermag auch nicht darzutun, dass das Kantonsgericht aus seinen für das Bundesgericht verbindlichen Faktenfeststellungen bei der Anwendung von § 90 Abs. 1 EntG /BL rechtliche Schlüsse gezogen hätte, die sich als willkürlich (vgl. oben E. 1.2) erweisen würden.</w:t>
      </w:r>
    </w:p>
    <w:p>
      <w:r>
        <w:rPr>
          <w:b/>
        </w:rPr>
        <w:t>E. 2.4</w:t>
      </w:r>
    </w:p>
    <w:p>
      <w:r>
        <w:t>Daneben macht die Beschwerdeführerin zwar noch die Verletzung zahlreicher Verfassungs- und Gesetzesbestimmungen geltend, auf Bundes- oder Kantonsebene. Es erübrigt sich jedoch, auf diese Vorbringen näher einzugehen. Denn auch insofern läuft alles auf die vom Kantonsgericht zu § 90 Abs. 1 EntG /BL vorgenommene Sachverhaltsermittlung und Rechtsanwendung hinaus (vgl. oben E. 2.1 einleitend), welche vor der bundesgerichtlichen Überprüfung (vgl. oben E. 1.2 u. 1.3) im erforderlichen Ausmass standzuhalten vermag.</w:t>
      </w:r>
    </w:p>
    <w:p>
      <w:r>
        <w:t>Das gilt insbesondere auch dort, wo die Beschwerdeführerin sich auf ihre Autonomie gemeinderechtlicher Gestaltung der örtlichen Verhältnisse beruft. Diese autonome Gestaltung verlief hier indessen so, dass das Kantonsgericht willkürfrei hat festhalten dürfen, ein beitragsrelevanter Sondervorteil sei für die Beschwerdegegner nicht entstanden.</w:t>
      </w:r>
    </w:p>
    <w:p>
      <w:r>
        <w:rPr>
          <w:b/>
        </w:rPr>
        <w:t>E. 3</w:t>
      </w:r>
    </w:p>
    <w:p>
      <w:r>
        <w:t>Nach dem Gesagten ist die Beschwerde abzuweisen und wird die Beschwerdeführerin, die Vermögensinteressen wahrnimmt, kosten- sowie entschädigungspflichtig (vgl. Art. 65 f. 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