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518/2008 vom 15. Oktober 2008</w:t>
      </w:r>
    </w:p>
    <w:p>
      <w:r>
        <w:t>Bundesgericht, 2008-10-15, FR</w:t>
      </w:r>
    </w:p>
    <w:p>
      <w:r>
        <w:rPr>
          <w:b/>
        </w:rPr>
        <w:t xml:space="preserve">Quelle: </w:t>
      </w:r>
      <w:r>
        <w:t>https://mcp.opencaselaw.ch/entscheid/bger_2C_518_2008</w:t>
      </w:r>
    </w:p>
    <w:p>
      <w:r>
        <w:t>FR: TF 2C 518/2008 du 15 octobre 2008</w:t>
      </w:r>
    </w:p>
    <w:p>
      <w:r>
        <w:t>IT: TF 2C 518/2008 del 15 ottobre 2008</w:t>
      </w:r>
    </w:p>
    <w:p>
      <w:pPr>
        <w:pStyle w:val="Heading2"/>
      </w:pPr>
      <w:r>
        <w:t>Regeste</w:t>
      </w:r>
    </w:p>
    <w:p>
      <w:r>
        <w:t>responsabilité de la Confédération; péremption; acte illicite; dommage | Responsabilité de l'État</w:t>
      </w:r>
    </w:p>
    <w:p>
      <w:pPr>
        <w:pStyle w:val="Heading2"/>
      </w:pPr>
      <w:r>
        <w:t>Erwägungen</w:t>
      </w:r>
    </w:p>
    <w:p>
      <w:r>
        <w:rPr>
          <w:b/>
        </w:rPr>
        <w:t>E. 1.1</w:t>
      </w:r>
    </w:p>
    <w:p>
      <w:r>
        <w:t>La recourante a intitulé son mémoire "recours de droit public". L'intitulé erroné du mémoire de recours ne saurait préjuger de la voie ouverte, ni porter préjudice à la recourante, pour autant que son écriture remplisse les conditions formelles de la voie de droit ouverte ( ATF 133 I 300 consid. 1.2 p. 302/303, 308 consid. 4.1 p. 314; 133 II 396 consid. 3.1 p. 399), soit en l'occurrence le recours en matière de droit public.</w:t>
      </w:r>
    </w:p>
    <w:p>
      <w:r>
        <w:rPr>
          <w:b/>
        </w:rPr>
        <w:t>E. 1.2</w:t>
      </w:r>
    </w:p>
    <w:p>
      <w:r>
        <w:t>Déposé en temps utile ( art. 100 al. 1 LTF ) et dans les formes prescrites par la loi ( art. 42 LTF ) par la destinataire de l'arrêt attaqué qui a un intérêt digne de protection à son annulation ou à sa modification ( art. 89 al. 1 LTF ) contre un arrêt du Tribunal administratif fédéral ( art. 86 al. 1 lettre a LTF ), le recours est en principe recevable en vertu des art. 82 ss LTF .</w:t>
      </w:r>
    </w:p>
    <w:p>
      <w:r>
        <w:rPr>
          <w:b/>
        </w:rPr>
        <w:t>E. 1.3</w:t>
      </w:r>
    </w:p>
    <w:p>
      <w:r>
        <w:t>Le grief de la recourante dirigé contre la décision rendue le 18 septembre 2007 par le Département fédéral des finances est irrecevable, étant donné l'effet dévolutif du recours déposé auprès du Tribunal administratif fédéral (cf. art. 37 LTAF en relation avec l' art. 61 PA ; cf. ATF 126 II 300 consid. 2a p. 302 s.), dont la décision peut seule être attaquée devant le Tribunal fédéral ( art. 86 al. 1 lettre a LTF ).</w:t>
      </w:r>
    </w:p>
    <w:p>
      <w:r>
        <w:rPr>
          <w:b/>
        </w:rPr>
        <w:t>E. 2.1</w:t>
      </w:r>
    </w:p>
    <w:p>
      <w:r>
        <w:t>En vertu de l'art. 3 al. 1 de la loi fédérale du 14 mars 1958 sur la responsabilité de la Confédération, des membres de ses autorités et de ses fonctionnaires (LRCF; loi sur la responsabilité; RS 170.32), la Confédération répond du dommage causé sans droit à un tiers par un fonctionnaire dans l'exercice de ses fonctions, sans égard à la faute du fonctionnaire. Cette disposition consacre une responsabilité primaire, exclusive et causale de l'Etat, en ce sens que le tiers lésé ne peut rechercher que l'Etat, à l'exclusion du fonctionnaire ou de l'agent responsable, et qu'il n'a pas à établir l'existence d'une faute; il lui suffit de faire la preuve d'un acte illicite, d'un dommage, ainsi que d'un rapport de causalité entre ces deux éléments (cf. ATF 106 Ib 357 consid. 2b p. 360/361). Comme en droit privé, pour que la responsabilité de la Confédération soit engagée, il faut qu'il existe entre l'acte dommageable et le dommage un lien de causalité naturelle, en ce sens que le dommage ne serait pas survenu sans l'acte, ou l'omission, reproché aux personnes qui engagent l'Etat (arrêt 2A.362/2000 du 10 décembre 2001, consid. 4.2; JOST GROSS, Schweizerisches Staatshaftungsrecht, 2e éd. Berne 2001, n. 5.2.1, p. 193/194).</w:t>
      </w:r>
    </w:p>
    <w:p>
      <w:r>
        <w:rPr>
          <w:b/>
        </w:rPr>
        <w:t>E. 2.2</w:t>
      </w:r>
    </w:p>
    <w:p>
      <w:r>
        <w:t>Le Tribunal administratif fédéral a correctement exposé les dispositions de l'ordonnance du 22 juin 1994 régissant la taxe sur la valeur ajoutée (OTVA; RO 1994 258), celles de la loi fédérale du 2 septembre 1999 régissant la taxe sur la valeur ajoutée (LTVA; RS 641.20) ainsi que les principes régissant la perception de celle-ci tels qu'ils ont été précisés par la jurisprudence et sont applicables à la présente cause. Il suffit par conséquent de renvoyer à l'arrêt attaqué sur ce point ( art. 109 al. 3 LTF ), tout en soulignant qu'en vertu du principe de l'auto-taxation qui prévaut en matière de TVA, l'assujettissement du contribuable, l'existence et le montant de la créance d'impôt ne nécessitent aucune décision de l'Administration fédérale des contributions. Le fait que le contribuable ne puisse plus récupérer auprès de ses clients les montants d'impôt qui lui sont réclamés ne change rien à l'existence de la dette fiscale: selon la jurisprudence, les assujettis ne disposent pas d'un droit à pouvoir répercuter la TVA sur le consommateur final; ils ne peuvent par conséquent pas non plus obtenir d'être exonérés de l'impôt, lorsque le transfert de celui-ci n'est pas ou n'est plus possible, tandis que la collectivité publique ne peut exiger de l'assujetti qu'il rembourse aux destinataires de sa prestation les montants d'impôt qu'il a payés à tort. La question du transfert de l'impôt a été expressément laissée à l'autonomie privée des parties et, par conséquent, ne relève pas de l'exercice de la puissance publique étatique ( ATF 123 II 385 consid. 8 p. 394; 2A.320/2002, Revue fiscale 58/2003 p. 797, RDAF 2004 II p. 100 consid. 5.2.1).</w:t>
      </w:r>
    </w:p>
    <w:p>
      <w:r>
        <w:rPr>
          <w:b/>
        </w:rPr>
        <w:t>E. 2.3</w:t>
      </w:r>
    </w:p>
    <w:p>
      <w:r>
        <w:t>Le Tribunal administratif fédéral a nié à bon droit l'existence d'un lien de causalité entre le prétendu retard de l'Administration fédérale à statuer sur le bien-fondé de la créance fiscale et le défaut de transfert de l'impôt entre la recourante et ses clients. En effet, la créance existait depuis le 1er janvier 1995, indépendamment de toute décision de l'Administration fédérale. Celle-ci avait au demeurant précisé à la recourante par courrier du 3 février 1995 déjà que toutes les prestations d'un centre de fitness (abonnements combinés, entrées individuelles pour l'utilisation de la salle de gymnastique, le sauna, le solarium, la salle de musculation etc., les ventes d'habits, boissons et nourriture au bar etc.) étaient imposables au taux de 6,5%. Le fait que la recourante était d'un avis différent ne peut pas être imputé à l'Administration fédérale sans violer le principe de l'auto-taxation. La recourante était en outre libre de répercuter, ou non, l'impôt sur ses clients en l'incluant dans le prix de ses prestations, ce qui rompt tout lien de causalité entre la prétendue inaction de l'Administration fédérale et le défaut de répercussion de l'impôt. A supposer au demeurant que l'impôt ait été prélevé auprès des clients et qu'il se soit ultérieurement avéré indû, aucune obligation de droit public n'imposait à la recourante, quoi qu'elle en pense, de rembourser l'impôt. En d'autres termes, l'inaction reprochée à l'Administration fédérale, que la recourante pouvait dénoncer en tout temps auprès de l'autorité de surveillance et devait même dénoncer pour réduire un éventuel dommage (cf. art. 44 al. 1 CO ), ce qu'elle n'a pas fait, n'a pas eu pour conséquence nécessaire de l'empêcher de reporter la charge de l'impôt sur ses clients. Le lien de causalité n'est par conséquent pas établi.</w:t>
      </w:r>
    </w:p>
    <w:p>
      <w:r>
        <w:rPr>
          <w:b/>
        </w:rPr>
        <w:t>E. 2.4</w:t>
      </w:r>
    </w:p>
    <w:p>
      <w:r>
        <w:t>En l'absence de lien de causalité entre la prétendue inaction de l'Administration fédérale et le dommage supposé, il n'est pas nécessaire d'examiner si les autres conditions de la responsabilité au sens de l' art. 3 LRCF sont remplies; en particulier, il n'y a pas lieu de traiter du bien-fondé des allégations de la recourante à propos du dommage ou de l'illicéité du comportement de l'Administration fédérale. Par conséquent en rejetant l'action en dommages intérêts intentée par la recourante à l'encontre de l'Administration fédérale des contributions, le Tribunal administratif fédéral a correctement appliqué le droit fédéral.</w:t>
      </w:r>
    </w:p>
    <w:p>
      <w:r>
        <w:rPr>
          <w:b/>
        </w:rPr>
        <w:t>E. 3</w:t>
      </w:r>
    </w:p>
    <w:p>
      <w:r>
        <w:t>Les considérants qui précèdent conduisent au rejet du recours, dans la mesure où il est recevable. Succombant, la recourante doit supporter les frais judiciaires ( art. 65 et 66 al. 1 LTF ). Elle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