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2C_514/2017 vom 13. Dezember 2017</w:t>
      </w:r>
    </w:p>
    <w:p>
      <w:r>
        <w:t>Bundesgericht, 2017-12-13, DE</w:t>
      </w:r>
    </w:p>
    <w:p>
      <w:r>
        <w:rPr>
          <w:b/>
        </w:rPr>
        <w:t xml:space="preserve">Quelle: </w:t>
      </w:r>
      <w:r>
        <w:t>https://mcp.opencaselaw.ch/entscheid/bger_2C_514_2017</w:t>
      </w:r>
    </w:p>
    <w:p>
      <w:r>
        <w:t>FR: TF 2C_514/2017 du 13 décembre 2017</w:t>
      </w:r>
    </w:p>
    <w:p>
      <w:r>
        <w:t>IT: TF 2C_514/2017 del 13 dicembre 2017</w:t>
      </w:r>
    </w:p>
    <w:p>
      <w:pPr>
        <w:pStyle w:val="Heading2"/>
      </w:pPr>
      <w:r>
        <w:t>Erwägungen</w:t>
      </w:r>
    </w:p>
    <w:p>
      <w:r>
        <w:rPr>
          <w:b/>
        </w:rPr>
        <w:t>E. 1.1</w:t>
      </w:r>
    </w:p>
    <w:p>
      <w:r>
        <w:t>Die Vorinstanz hat zum streitbetroffenen Zeitraum betreffend die Staats- und Gemeindesteuern des Kantons Zürich einerseits und die direkte Bundessteuer anderseits ein einziges Urteil gefällt. Das gewählte Vorgehen ist zulässig, soweit die zu entscheidende Rechtsfrage im Bundesrecht und im harmonisierten kantonalen Recht übereinstimmend geregelt ist. Dies trifft hier zu. Die Steuerpflichtige bringt ihre Einwände ebenso zulässigerweise in einer einzigen Beschwerdeschrift vor. Die Angelegenheit kann vom Bundesgericht in einem einzigen Urteil entschieden werden ( BGE 142 II 293 E. 1.2 S. 296).</w:t>
      </w:r>
    </w:p>
    <w:p>
      <w:r>
        <w:rPr>
          <w:b/>
        </w:rPr>
        <w:t>E. 1.2</w:t>
      </w:r>
    </w:p>
    <w:p>
      <w:r>
        <w:t>Die Voraussetzungen der Beschwerde in öffentlich-rechtlichen Angelegenheiten liegen - unter Vorbehalt des Rechtsschutzinteresses, das gesondert zu prüfen ist - vor (Art. 82 lit. a, Art. 83</w:t>
      </w:r>
    </w:p>
    <w:p>
      <w:r>
        <w:t>e contrario , Art. 86 Abs. 1 lit. d und Abs. 2, Art. 90, Art. 100 Abs. 1 BGG [SR 173.110] in Verbindung mit Art. 146 DBG [SR 642.11] und Art. 73 StHG [SR 642.14]).</w:t>
      </w:r>
    </w:p>
    <w:p>
      <w:r>
        <w:rPr>
          <w:b/>
        </w:rPr>
        <w:t>E. 1.3</w:t>
      </w:r>
    </w:p>
    <w:p>
      <w:r>
        <w:t>Das Bundesgericht prüft das Bundesrecht von Amtes wegen ( Art. 106 Abs. 1 BGG ; BGE 142 I 155 E. 4.4.5 S. 157) und mit uneingeschränkter (voller) Kognition ( Art. 95 lit. a BGG ; BGE 141 V 234 E. 2 S. 236). Unter das Bundesrecht auch die direkte Bundessteuer ( Art. 128 BV ) und das Steuerrecht der Kantone und Gemeinden, soweit dieses der harmonisierungsrechtlichen Vorgabe entspricht ( Art. 129 BV ).</w:t>
      </w:r>
    </w:p>
    <w:p>
      <w:r>
        <w:rPr>
          <w:b/>
        </w:rPr>
        <w:t>E. 1.4</w:t>
      </w:r>
    </w:p>
    <w:p>
      <w:r>
        <w:t>Die Verletzung von verfassungsmässigen Individualrechten (einschliesslich der Grundrechte) prüft das Bundesgericht dagegen nur, soweit eine solche Rüge in der Beschwerde überhaupt vorgebracht und ausreichend begründet worden ist (qualifizierte Rüge- und Begründungsobliegenheit gemäss Art. 106 Abs. 2 BGG ; BGE 142 I 99 E. 1.7.2 S. 106).</w:t>
      </w:r>
    </w:p>
    <w:p>
      <w:r>
        <w:rPr>
          <w:b/>
        </w:rPr>
        <w:t>E. 1.5</w:t>
      </w:r>
    </w:p>
    <w:p>
      <w:r>
        <w:t>Das Bundesgericht legt seinem Urteil den Sachverhalt zugrunde, den die Vorinstanz festgestellt hat ( Art. 105 Abs. 1 BGG ; BGE 142 I 155 E. 4.4.3 S. 156).</w:t>
      </w:r>
    </w:p>
    <w:p>
      <w:r>
        <w:rPr>
          <w:b/>
        </w:rPr>
        <w:t>E. 2.1</w:t>
      </w:r>
    </w:p>
    <w:p>
      <w:r>
        <w:t>Die Steuerpflichtige will mit ihrer Beschwerde geklärt haben, ob die Vorinstanz bundesrechtskonform erwogen habe, das Recht der direkten Bundessteuer und das harmonisierte Steuerrecht von Kantonen und Gemeinden liessen unter den gegebenen Umständen kein Langjahr zu. Die Steuerpflichtige erblickt die praktische Bedeutung der aufgeworfenen Rechtsfrage darin, dass der Verlust im einen Fall nur bis in der Steuerperiode 2016/2017 vorgetragen werden könne, im andern aber - aufgrund der ungebrochenen Steuerperiode 2010/2011 (umfassend 15 Monate) - bis zur Steuerperiode 2017/2018. Das Bundesgericht hatte diese Frage unter dem Steuerrecht von 1990 (DBG/StHG) noch nicht zu entscheiden.</w:t>
      </w:r>
    </w:p>
    <w:p>
      <w:r>
        <w:rPr>
          <w:b/>
        </w:rPr>
        <w:t>E. 2.2.1</w:t>
      </w:r>
    </w:p>
    <w:p>
      <w:r>
        <w:t>Es fragt sich vorab, ob auf die Beschwerde überhaupt einzutreten ist. Dies ist von Amtes wegen ( Art. 29 Abs. 1 BGG ; BGE 142 III 643 E. 1 S. 644) und mit freier Kognition ( Art. 95 lit. a BGG ; BGE 142 II 363 E. 1 S. 365; vorne E. 1.3) zu prüfen.</w:t>
      </w:r>
    </w:p>
    <w:p>
      <w:r>
        <w:rPr>
          <w:b/>
        </w:rPr>
        <w:t>E. 2.2.2</w:t>
      </w:r>
    </w:p>
    <w:p>
      <w:r>
        <w:t>Das Beschwerderecht setzt insbesondere voraus, dass die beschwerdeführende Person sich über ein schutzwürdiges Interesse rechtlicher oder tatsächlicher Natur ausweisen kann ( Art. 89 Abs. 1 lit. c BGG ). Von einem hinreichenden Rechtsschutzinteresse darf ausgegangen werden, falls durch die Gutheissung des Rechtsmittels ein praktischer materieller oder ideeller Nachteil abgewendet werden kann, den die beschwerdeführende Person ansonsten aufgrund des angefochtenen Entscheids erleiden würde ( BGE 141 II 50 E. 2.1 S. 52). Zu verlangen ist folglich, dass die Situation der beschwerdeführenden Person durch den Ausgang des Verfahrens überhaupt in rechtserheblicher Weise verbessert werden kann ( BGE 139 II 499 E. 2.2 S. 504). Wenn selbst die Gutheissung des Rechtsmittels zu keinem anderen Ergebnis führen würde, kann kein rechtserheblichen Rechtsschutzinteresse vorliegen. Gleiches gilt, falls Rechtsfragen aufgeworfen werden, die im betreffenden Fall von keinerlei Bedeutung sind (Urteil 2C_974/2016 / 2C_975/2016 / 2C_976/2016 / 2C_977/2016 vom 12. Dezember 2016 E. 3.5).</w:t>
      </w:r>
    </w:p>
    <w:p>
      <w:r>
        <w:rPr>
          <w:b/>
        </w:rPr>
        <w:t>E. 2.2.3</w:t>
      </w:r>
    </w:p>
    <w:p>
      <w:r>
        <w:t>Unter den für das Bundesgericht grundsätzlich verbindlichen vorinstanzlichen Feststellungen der Vorinstanz ( Art. 105 Abs. 1 BGG ; vorne E. 1.5) ist hier zweierlei von Bedeutung. So steht zum einen fest, dass die Veranlagungsbehörde das Langjahr in zwei Steuerperioden unterteilte und zum andern einen steuerbaren Gewinn von Fr. 0.-- veranlagte (Sachverhalt, lit. B). Die Vorinstanz hat alsdann im Eintretenspunkt erkannt, es gelte zwar die Regel, dass ein Verlustvortrag</w:t>
      </w:r>
    </w:p>
    <w:p>
      <w:r>
        <w:t>in betraglicher Hinsicht erst zu prüfen sei, wenn er überhaupt verrechnet werden könne ( Art. 67 Abs. 1 DBG ; Art. 25 Abs. 2 StHG ; BGE 140 I 114 E. 2.4.1 S. 119). Vorliegend verhalte es sich aber anders, stelle sich doch eine Frage</w:t>
      </w:r>
    </w:p>
    <w:p>
      <w:r>
        <w:t>in zeitlicher Hinsicht . Es sei denkbar, dass die Bildung zweier Steuerperioden - die erste das Jahr 2010 umfassend, die zweite das erste Quartal des Jahrs 2011 - für die Steuerpflichtige gewisse Rechtsnachteile nach sich ziehen könnte. Daher sei auf die Sache einzutreten, allerdings beschränkt auf die Frage, ob die gegebenen Sachumstände ein steuerrechtliches Langjahr zuliessen. Soweit die Steuerpflichtige hingegen beantrage, es sei festzustellen, dass die rechtskräftig festgelegten Steuerperioden keine Auswirkungen auf die Verlustverrechnungsperioden hätten, bestehe zurzeit kein genügliches Rechtsschutzinteresse. Dieser Punkt sei nur und erst im Zeitpunkt zu klären, in welchem der Verlustvortrag tatsächlich zur Verrechnung herangezogen werde.</w:t>
      </w:r>
    </w:p>
    <w:p>
      <w:r>
        <w:rPr>
          <w:b/>
        </w:rPr>
        <w:t>E. 2.3.1</w:t>
      </w:r>
    </w:p>
    <w:p>
      <w:r>
        <w:t>Praxisgemäss kann lediglich die Entscheidformel (das Dispositiv) einer Verfügung in formelle und materielle Rechtskraft erwachsen, nicht die Sachverhaltsfeststellungen oder die Erwägungen zur Rechtslage (die Motive). Aus diesem Grund kann auch nur das Dispositiv Bindungswirkung entfalten ( BGE 140 I 114 E. 2.4.2 S. 120). Im Abgaberecht bedeutet dies, dass einzig die Steuerfaktoren an der Rechtskraft teilhaben können ( BGE 140 I 114 E. 2.4.3 S. 120). Wird eine juristische Person mit einem Reingewinn von null Franken veranlagt, ist damit bloss entschieden, dass sie keinen steuerbaren Gewinn erzielt und dementsprechend für das betreffende Jahr keine Steuern zu bezahlen hat. Über den "Nullgewinn" hinaus ist damit zum Verlust in betraglicher Hinsicht noch nichts gesagt. Die Frage stellt sich erst, sobald in einer späteren Steuerperiode ein steuerbarer Reingewinn auftritt. Trotz der eingetretenen Rechtskraft der auf null Franken lautenden Veranlagungsverfügungen kann und muss die Veranlagungsbehörde dann klären, wie hoch der Verlust seinerzeit ausgefallen war. Erst diese Feststellung erlaubt es, im Rahmen von Art. 67 Abs. 1 DBG bzw. Art. 25 Abs. 2 StHG über den Abzug zu befinden ( BGE 140 I 114 E. 2.4.4 S. 120).</w:t>
      </w:r>
    </w:p>
    <w:p>
      <w:r>
        <w:rPr>
          <w:b/>
        </w:rPr>
        <w:t>E. 2.3.2</w:t>
      </w:r>
    </w:p>
    <w:p>
      <w:r>
        <w:t>Ergibt sich eine Nullveranlagung, fehlt es der steuerpflichtigen Person regelmässig an einem Feststellungs- oder einem andersartigen Rechtsschutzinteresse, das sie zur Anfechtung des Entscheids berechtigen könnte ( BGE 140 I 114 E. 2.4.1 S. 119 f.). Anders könnte es sich verhalten, wenn die Nullveranlagung - trotz Fehlens einer</w:t>
      </w:r>
    </w:p>
    <w:p>
      <w:r>
        <w:t>zurzeit zu bezahlenden Steuer - unmittelbare Rechtswirkungen entfaltet, deren Klärung keinen Aufschub erduldet. Wie die Steuerpflichtige insoweit zutreffend ausführt, geht es um die Beantwortung der Rechtsfrage, ob die im Jahr 2010 entstandenen Verluste längstens in der Steuerperiode 2016/2017 oder doch erst 2017/2018 verrechnet werden können. Es erscheint als nachvollziehbar, dass die Steuerpflichtige hierzu eine bundesgerichtliche Klärung herbeiführen möchte, es gilt aber zu bedenken, dass im Moment erst und nur die Veranlagung für die Zeit vom 1. Januar 2010 bis 31. März 2011 zur Diskussion steht und für diesen Zeitraum eine Nullveranlagung resultiert.</w:t>
      </w:r>
    </w:p>
    <w:p>
      <w:r>
        <w:rPr>
          <w:b/>
        </w:rPr>
        <w:t>E. 2.3.3</w:t>
      </w:r>
    </w:p>
    <w:p>
      <w:r>
        <w:t>Damit fehlt ein aktuelles und praktisches Rechtsschutzinteresse, das rechtlicher oder zumindest tatsächlicher Natur ist. Auf die Beschwerde ist daher im bundesgerichtlichen Verfahren nicht einzutreten. Ob von Bundesrechts wegen ein steuerliches Normaljahr (2010) und ein Kurzjahr (erstes Quartal 2011) oder doch ein Langjahr (1. Januar 2010 bis 31. März 2011) bestand, hat vorderhand unentschieden zu bleiben. Entsprechend ist etwa auch noch nicht rechtskräftig geklärt, ob die Veranlagungsbehörde bundesrechtskonform zur Vornahme der Veranlagung nach pflichtgemässem Ermessen geschritten ist (was namentlich mit Blick auf den Unrichtigkeitsnachweis im Sinne von Art. 132 Abs. 3 DBG bzw. Art. 48 Abs. 2 StHG und auf die Berücksichtigung des Verlusts von Amtes wegen bedeutsam wäre). Diese und alle weiteren zusammenhängenden Rechtsfragen dürfen im Veranlagungsverfahren jenes Jahres vorgebracht werden, in welchem erstmals ein steuerbarer Reingewinn eintritt ( BGE 140 I 114 E. 3.2.2 S. 121; Urteile 2C_696/2013 vom 29. April 2014 E. 3.4.3, in: ASA 83 S. 131, StE 2014 B 72.19 Nr. 18, StR 69/2014 S. 650; 2C_973/2012 / 2C_974/2012 vom 4. Oktober 2013 E. 4.2, in: ASA 82 S. 308, RDAF 2014 II 34, StR 69/2014 S. 65). Mit andern Worten entfaltet der angefochtene Entscheid, mit welchem die Vorinstanz auf die Sache eingetreten ist, materielle Rechtskraft lediglich insoweit, als darin festgehalten wird, im Zeitraum vom 1. Januar 2010 bis zum 31. März 2011 sei</w:t>
      </w:r>
    </w:p>
    <w:p>
      <w:r>
        <w:t>insgesamt kein steuerbarer Reingewinn angefallen. Dies schliesst nicht aus, dass die Steuerpflichtige in einem späteren Verfahren, sollte sie aufgrund eines eingetretenen steuerbaren Reingewinns zur Beschwerde legitimiert werden, zulässigerweise vorbringt, es habe ein Langjahr vorgelegen, eventualiter sei der Verlust im Kurzjahr 2011 eingetreten.</w:t>
      </w:r>
    </w:p>
    <w:p>
      <w:r>
        <w:rPr>
          <w:b/>
        </w:rPr>
        <w:t>E. 2.4</w:t>
      </w:r>
    </w:p>
    <w:p>
      <w:r>
        <w:t>Die Beschwerde erweist sich damit mangels eines aktuellen Rechtsschutzinteresses als unzulässig. Auf das Rechtsmittel ist nicht einzutreten.</w:t>
      </w:r>
    </w:p>
    <w:p>
      <w:r>
        <w:rPr>
          <w:b/>
        </w:rPr>
        <w:t>E. 3.1</w:t>
      </w:r>
    </w:p>
    <w:p>
      <w:r>
        <w:t>Nach dem Unterliegerprinzip ( Art. 66 Abs. 1 Satz 1 BGG ) sind der Steuerpflichtigen die Kosten des bundesgerichtlichen Verfahrens aufzuerlegen.</w:t>
      </w:r>
    </w:p>
    <w:p>
      <w:r>
        <w:rPr>
          <w:b/>
        </w:rPr>
        <w:t>E. 3.2</w:t>
      </w:r>
    </w:p>
    <w:p>
      <w:r>
        <w:t>Dem Kanton Zürich,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