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2C_513/2023 vom 5. Oktober 2023</w:t>
      </w:r>
    </w:p>
    <w:p>
      <w:r>
        <w:t>Bundesgericht, 2023-10-05, IT</w:t>
      </w:r>
    </w:p>
    <w:p>
      <w:r>
        <w:rPr>
          <w:b/>
        </w:rPr>
        <w:t xml:space="preserve">Quelle: </w:t>
      </w:r>
      <w:r>
        <w:t>https://mcp.opencaselaw.ch/entscheid/bger_2C_513_2023</w:t>
      </w:r>
    </w:p>
    <w:p>
      <w:r>
        <w:t>FR: TF 2C_513/2023 du 5 octobre 2023</w:t>
      </w:r>
    </w:p>
    <w:p>
      <w:r>
        <w:t>IT: TF 2C_513/2023 del 5 ottobre 2023</w:t>
      </w:r>
    </w:p>
    <w:p>
      <w:pPr>
        <w:pStyle w:val="Heading2"/>
      </w:pPr>
      <w:r>
        <w:t>Erwägungen</w:t>
      </w:r>
    </w:p>
    <w:p>
      <w:r>
        <w:rPr>
          <w:b/>
        </w:rPr>
        <w:t>E. 1.1</w:t>
      </w:r>
    </w:p>
    <w:p>
      <w:r>
        <w:t>L'impugnativa è diretta contro una pronuncia resa dal Tribunale amministrativo ticinese in un litigio che riguarda il diritto degli stranieri, ovvero il diritto a un permesso di dimora UE/AELS da parte di D.________ e dei suoi familiari.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gli insorgenti sono di nazionalità italiana e possono di principio riferirsi all'ALC, la causa sfugge tuttavia alla clausola d'eccezione (sentenza 2C_570/2022 del 20 febbraio 2023 consid. 1.1).</w:t>
      </w:r>
    </w:p>
    <w:p>
      <w:r>
        <w:rPr>
          <w:b/>
        </w:rPr>
        <w:t>E. 1.2</w:t>
      </w:r>
    </w:p>
    <w:p>
      <w:r>
        <w:t>Il gravame è stato presentato nei termini (art. 46 cpv. 1 lett. b in relazione con l' art. 100 cpv. 1 LTF ), contro una decisione finale di un tribunale superiore (art. 86 cpv. 1 lett. d e cpv. 2; art. 90 LTF ) e da persone legittimate ad insorgere ( art. 89 cpv. 1 LTF ), di modo che va esaminato quale ricorso in materia di diritto pubblico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w:t>
      </w:r>
    </w:p>
    <w:p>
      <w:r>
        <w:t>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t>A meno che non ne dia motivo la decisione impugnata ( art. 99 cpv. 1 LTF ), il Tribunale federale non tiene neppure conto di fatti o mezzi di prova nuovi, i quali non possono comunque essere posteriori al querelato giudizio (nova in senso proprio; DTF 139 III 120 consid. 3.1.2).</w:t>
      </w:r>
    </w:p>
    <w:p>
      <w:r>
        <w:rPr>
          <w:b/>
        </w:rPr>
        <w:t>E. 2.3</w:t>
      </w:r>
    </w:p>
    <w:p>
      <w:r>
        <w:t>Nella fattispecie, già perché vengono presentati senza il minimo confronto con l' art. 99 cpv. 1 LTF , quindi senza spiegare perché le condizioni previste da questa norma dovrebbero essere rispettate, i documenti B e C, acclusi al ricorso, non possono essere presi in considerazione (sentenza 2C_1047/2022 dell'11 aprile 2023 consid. 2.2).</w:t>
      </w:r>
    </w:p>
    <w:p>
      <w:r>
        <w:t>Indipendentemente da ciò, si può aggiungere che benché portino date precedenti al giudizio impugnato, i presupposti per produrre le fatture di cui al doc. C non sono dati, perché la questione dell'effettiva attività della B.________ Sagl, in relazione alla quale sono prodotte, non è affatto nuova, e tutte le prove al riguardo andavano quindi presentate in sede cantonale. Per quanto attiene al doc. B, che è un contratto di locazione per un ufficio e un magazzino a W.________, va invece osservato che esso non è né datato né firmato e che, nella misura in cui attesterebbe che la B.________ Sagl è "in fase di sottoscrizione" di un contratto relativo a nuovi spazi per la sua attività (che dovrebbe acquisire validità dal 1° ottobre 2023), concerne fatti successivi alla pronuncia del giudizio impugnato (3 agosto 2023), la cui presa in considerazione da parte del Tribunale federale è a priori esclusa (nova in senso proprio; DTF 139 III 120 consid. 3.1.2).</w:t>
      </w:r>
    </w:p>
    <w:p>
      <w:r>
        <w:rPr>
          <w:b/>
        </w:rPr>
        <w:t>E. 3.1</w:t>
      </w:r>
    </w:p>
    <w:p>
      <w:r>
        <w:t>Al pari del Consiglio di Stato ticinese, la Corte cantonale ha tutelato l'agire delle autorità migratorie, che avevano revocato ai ricorrenti il permesso di dimora UE/AELS a suo tempo rilasciato agli stessi. Esposto il quadro legale di riferimento e fatto rinvio agli atti, anch'essa ha infatti concluso che: (a) la B.________ Sagl non aveva una propria operatività effettiva, ma andava considerata una ramificazione su suolo svizzero della C.________ S.R.L. con sede a X.________ (I); (b) le condizioni per riconoscere il diritto a un permesso di dimora UE/AELS a una persona che indicava la B.________ Sagl quale datrice di lavoro Svizzera non erano adempiute e, di conseguenza, non erano date nemmeno le condizioni per riconoscere un uguale permesso - a titolo derivato - ai suoi familiari (in casu: moglie e figlio; giudizio impugnato, consid. 4).</w:t>
      </w:r>
    </w:p>
    <w:p>
      <w:r>
        <w:rPr>
          <w:b/>
        </w:rPr>
        <w:t>E. 3.2</w:t>
      </w:r>
    </w:p>
    <w:p>
      <w:r>
        <w:t>Da parte loro, i ricorrenti non concordano con il giudizio cantonale, che ritengono lesivo del diritto federale e del diritto internazionale e, in particolare dell' art. 6 allegato I ALC , avendo i Giudici ticinesi "esaminato e valutato in modo errato la situazione della ditta B.________ Sagl, che ha a tutti gli effetti una propria operatività", con la conseguenza che sono rispettate anche le condizioni per le quali sono stati rilasciati i permessi di dimora UE/AELS (ricorso, p.to E in fine).</w:t>
      </w:r>
    </w:p>
    <w:p>
      <w:r>
        <w:rPr>
          <w:b/>
        </w:rPr>
        <w:t>E. 4.1</w:t>
      </w:r>
    </w:p>
    <w:p>
      <w:r>
        <w:t>Giusta l' art. 6 cpv. 1 allegato I ALC ,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ad un anno, qualora il possessore si trovi in una situazione di disoccupazione involontaria da oltre 12 mesi consecutivi. Il capoverso 6 precisa che la carta di soggiorno in corso di validità non può essere ritirata per il solo fatto che il lavoratore non è più occupato, quando lo stato di disoccupazione dipende da un'incapacità temporanea di lavoro dovuta a malattia o a infortunio, oppure quando si tratti di disoccupazione involontaria debitamente constatata dall'ufficio del lavoro competente.</w:t>
      </w:r>
    </w:p>
    <w:p>
      <w:r>
        <w:t>Il diritto di soggiorno conferito a un lavoratore dipendente sulla base dell' art. 6 cpv. 1 allegato I ALC si estende - a titolo derivato - al coniuge e ai discendenti minori di 21 anni o a suo carico (art. 7 lett. d ALC in relazione con l'art. 3 cpv. 1 e cpv. 2 lett. a allegato I ALC; sentenza 2C_897/2022 del 6 settembre 2023 consid. 4.1).</w:t>
      </w:r>
    </w:p>
    <w:p>
      <w:r>
        <w:rPr>
          <w:b/>
        </w:rPr>
        <w:t>E. 4.2</w:t>
      </w:r>
    </w:p>
    <w:p>
      <w:r>
        <w:t>Secondo le istruzioni della Segreteria di Stato della migrazione relative all'ordinanza del 22 maggio 2002 sull'introduzione della libera circolazione delle persone (OLCP; RS 142.203; istruzioni OLCP-01/2023), alle quali si richiama anche la Corte cantonale, nel caso in cui un cittadino dell'Unione europea presenti una domanda per ottenere un permesso di dimora o un permesso per frontalieri,</w:t>
      </w:r>
    </w:p>
    <w:p>
      <w:r>
        <w:t>"si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w:t>
      </w:r>
    </w:p>
    <w:p>
      <w:r>
        <w:t>di servizi distaccati" (menzionate istruzioni, punto 4.2.1, pag. 37-38).</w:t>
      </w:r>
    </w:p>
    <w:p>
      <w:r>
        <w:t>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2C_231/2023 dell'11 luglio 2023 consid. 5.3; 2C_264/2020 del 10 agosto 2021 consid. 4.3.1).</w:t>
      </w:r>
    </w:p>
    <w:p>
      <w:r>
        <w:rPr>
          <w:b/>
        </w:rPr>
        <w:t>E. 4.3</w:t>
      </w:r>
    </w:p>
    <w:p>
      <w:r>
        <w:t>I lavoratori dipendenti al beneficio di permessi di dimora o per frontalieri ottenuti per svolgere un'attività vanno distinti dai lavoratori che sono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w:t>
      </w:r>
    </w:p>
    <w:p>
      <w:r>
        <w:t>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I ricorrenti sostengono che il giudizio impugnato sia lesivo del diritto federale e internazionale. Dal precedente considerando 3.2, in cui sono riassunte le loro critiche, risulta tuttavia che essi non contestano l'impostazione giuridica data al loro caso, che è del resto corretta ed è stata confermata anche in cause recenti (sentenze 2C_897/2022 del 6 settembre 2023 consid. 4; 2C_185/2023 del 28 agosto 2023 consid. 4; 2C_231/2023 dell'11 luglio 2023 consid. 5 e 6).</w:t>
      </w:r>
    </w:p>
    <w:p>
      <w:r>
        <w:t>Sono però dell'avviso che i Giudici ticinesi abbiano "esaminato e valutato in modo errato la situazione della ditta B.________ Sagl, che ha a tutti gli effetti una propria operatività" e pongono quindi una questione di fatto, che il Tribunale federale può rivedere soltanto nell'ottica del divieto d'arbitrio (sentenza 2C_185/2023 del 28 agosto 2023 consid. 7.2; 2C_264/2020 del 10 agosto 2021 consid. 5.2).</w:t>
      </w:r>
    </w:p>
    <w:p>
      <w:r>
        <w:rPr>
          <w:b/>
        </w:rPr>
        <w:t>E. 5.2</w:t>
      </w:r>
    </w:p>
    <w:p>
      <w:r>
        <w:t>Nell'impugnativa presentata davanti al Tribunale federale, una violazione del divieto d'arbitrio sancito dall' art. 9 Cost. , che non viene per altro nemmeno richiamato, non è però dimostrata, perché i ricorrenti si limitano a fornire una propria lettura della fattispecie e a contrapporla a quella contenuta nella sentenza impugnata, ciò che non basta.</w:t>
      </w:r>
    </w:p>
    <w:p>
      <w:r>
        <w:t>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deve argomentare, per ogni accertamento criticato, in che modo le prove avrebbero dovuto essere valutate, perché l'apprezzamento dell'autorità sia insostenibile e in che misura la lesione invocata sarebbe suscettibile d'avere influenza sull'esito del litigio ( DTF 143 IV 500 consid. 1.1; sentenza 2C_211/2019 del 6 aprile 2022 consid. 7.1), ciò che nell'impugnativa in esame non viene fatto.</w:t>
      </w:r>
    </w:p>
    <w:p>
      <w:r>
        <w:rPr>
          <w:b/>
        </w:rPr>
        <w:t>E. 5.3</w:t>
      </w:r>
    </w:p>
    <w:p>
      <w:r>
        <w:t>D'altro canto, alla luce dei fatti che risultano dal giudizio impugnato, che vincolano il Tribunale federale ( art. 105 cpv. 1 LTF ), rispettivamente degli atti ai quali rinvia, nemmeno si può ravvisare una lesione dell' art. 6 allegato I ALC nell'avere negato il diritto al permesso di dimora UE/AELS al ricorrente 1, dopo avere constatato l'assenza di un'attività, reale, effettiva e duratura in Svizzera da parte della datrice di lavoro indicata, che possa essere considerata indipendente da quella della C.________ S.R.L.</w:t>
      </w:r>
    </w:p>
    <w:p>
      <w:r>
        <w:t>Da essi emerge infatti: (a) che B.________ Sagl, fondata nel 2016 con sede a V.________, e C.________ S.R.L. con sede a X.________ (I), operano sostanzialmente nello stesso settore, utilizzando pure un logo simile; (b) che la società italiana detiene la totalità delle quote societarie della B.________ Sagl; (c) che il ruolo di presidente della gerenza di quest'ultima, con firma individuale, è ricoperto da E.________, cittadino italiano residente a Y.________ (I), il quale non percepisce per tale funzione nessun compenso ed è nel contempo amministratore della società italiana C.________ S.R.L.; (d) che uno dei due gerenti della società svizzera (F.________) è anch'egli un cittadino italiano residente a Z.________ (I), nella stessa provincia in cui ha sede la C.________ S.R.L.; (e) che, nonostante la natura e l'ampiezza dell'attività dichiarata, la B.________ Sagl non dispone su territorio ticinese di nessuna infrastruttura specifica (ufficio proprio, magazzino o veicoli che le siano intestati); (f) che sei delle dieci fatture da essa prodotte, relative al periodo tra il gennaio e il luglio 2021, erano indirizzate alla C.________ S.R.L. per lavori di subappalto, a conferma di un legame tra le due ditte che va oltre quello della fornitura di materiale; (g) che il sito internet della società con sede in Svizzera, registrato in data..., con il dominio www.....ch.com, non è stato mai attivato; (h) che il "ruolo puramente funzionale" della B.________ Sagl nei confronti della C.________ S.R.L., è stato in sostanza confermato anche dallo stesso E.________, presidente della gerenza della prima e amministratore della seconda, il quale ha dichiarato pendente causa che l'apertura della B.________ Sagl è stata decisa in ragione del fatto che, avendo la C.________ S.R.L. lavori in Svizzera "che coprivano quasi tutto l'anno", il loro svolgimento "nei tempi designati dallo Stato svizzero per le richieste dei permessi" non sarebbe stato possibile (nel medesimo senso, cfr. anche le sentenze del Tribunale federale 2C_897/2022 del 6 settembre 2023 consid. 6.3; 2C_185/2023 del 28 agosto 2023 consid. 7.3; 2C_154/2023 dell'8 agosto 2023 consid. 5; 2C_231/2023 dell'11 luglio 2023 consid. 6.1; 2C_264/2020 del 10 agosto 2021 consid. 5.2, in cui il Tribunale federale ha confermato le sentenze rese dal Tribunale amministrativo ticinese in casi analoghi).</w:t>
      </w:r>
    </w:p>
    <w:p>
      <w:r>
        <w:rPr>
          <w:b/>
        </w:rPr>
        <w:t>E. 5.4</w:t>
      </w:r>
    </w:p>
    <w:p>
      <w:r>
        <w:t>Ritenuto che, giusta l' art. 6 allegato I ALC , relativo ai permessi di dimora UE/AELS, è necessario che il datore di lavoro eserciti in Svizzera un'attività reale, effettiva e duratura (precedente consid. 4), che in base ai fatti constatati nel giudizio impugnato l'insorgente risulta essere sempre alle dipendenze della B.________ Sagl e che quest'ultima non può essere riconosciuta quale datrice di lavoro ai sensi della norma menzionata, il ricorso dev'essere quindi respinto.</w:t>
      </w:r>
    </w:p>
    <w:p>
      <w:r>
        <w:t>Come rilevato anche dalla Corte cantonale, in assenza del diritto a un permesso di dimora UE/AELS da parte del ricorrente 1, dati non sono infatti nemmeno gli estremi per il riconoscimento del diritto (derivato) a un permesso di dimora UE/AELS ai ricorrenti 2 e 3 (precedente consid. 4.1 con riferimento all'art. 7 lett. d ALC in relazione con l' art. 3 allegato I ALC ; sentenza 2C_897/2022 del 6 settembre 2023 consid. 6.4).</w:t>
      </w:r>
    </w:p>
    <w:p>
      <w:r>
        <w:rPr>
          <w:b/>
        </w:rPr>
        <w:t>E. 6</w:t>
      </w:r>
    </w:p>
    <w:p>
      <w:r>
        <w:t>Per quanto precede, il ricorso è respinto. Le spese giudiziarie seguono la soccombenza e sono poste a carico dei ricorrenti, in solido ( art. 66 cpv. 1 e 5 LTF ; sentenza 2C_647/2020 dell'11 marzo 2021 consid. 7).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