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512/2011 vom 26. September 2011</w:t>
      </w:r>
    </w:p>
    <w:p>
      <w:r>
        <w:t>Bundesgericht, 2011-09-26, IT</w:t>
      </w:r>
    </w:p>
    <w:p>
      <w:r>
        <w:rPr>
          <w:b/>
        </w:rPr>
        <w:t xml:space="preserve">Quelle: </w:t>
      </w:r>
      <w:r>
        <w:t>https://mcp.opencaselaw.ch/entscheid/bger_2C_512_2011</w:t>
      </w:r>
    </w:p>
    <w:p>
      <w:r>
        <w:t>FR: TF 2C 512/2011 du 26 septembre 2011</w:t>
      </w:r>
    </w:p>
    <w:p>
      <w:r>
        <w:t>IT: TF 2C 512/2011 del 26 settembre 2011</w:t>
      </w:r>
    </w:p>
    <w:p>
      <w:pPr>
        <w:pStyle w:val="Heading2"/>
      </w:pPr>
      <w:r>
        <w:t>Regeste</w:t>
      </w:r>
    </w:p>
    <w:p>
      <w:r>
        <w:t>Promozione della costruzione di abitazione e dell'accesso alla proprietà, rimborso anticipazioni | Finanze pubbliche &amp; diritto tributario</w:t>
      </w:r>
    </w:p>
    <w:p>
      <w:pPr>
        <w:pStyle w:val="Heading2"/>
      </w:pPr>
      <w:r>
        <w:t>Erwägungen</w:t>
      </w:r>
    </w:p>
    <w:p>
      <w:r>
        <w:rPr>
          <w:b/>
        </w:rPr>
        <w:t>E. 6.1</w:t>
      </w:r>
    </w:p>
    <w:p>
      <w:r>
        <w:t>Come rilevato dall'istanza precedente, la sottoscrizione delle decisioni del 30 maggio 1996 ha portato alla valida conclusione di due contratti di diritto pubblico, secondo quanto previsto dall' art. 56 LCAP . Tale constatazione - così come l'obbligo di restituzione degli aiuti che l'Ufficio federale delle abitazioni eroga, previsto dagli art. 37 cpv. 4 e 39 LCAP - non sono del resto contestati neppure dai ricorrenti. Diversamente da quanto loro sostenuto, richiamandosi a svariate norme della LCAP rispettivamente della sua ordinanza di applicazione (OLCAP; RS 843.1), lecita era però anche la conclusione secondo cui i contratti stipulati tra le parti costituiscono, in combinazione con il piano degli oneri originario ed i suoi aggiornamenti (doc. R e T), le liste delle pigioni (doc. S e U) e le "condizioni generali" (doc. N e O), un fondamento legittimo per richiedere il rimborso delle anticipazioni ricevute.</w:t>
      </w:r>
    </w:p>
    <w:p>
      <w:r>
        <w:rPr>
          <w:b/>
        </w:rPr>
        <w:t>E. 6.2</w:t>
      </w:r>
    </w:p>
    <w:p>
      <w:r>
        <w:t>Proprio con riferimento all' art. 56 LCAP , il Tribunale federale ha infatti già avuto modo di confermare che, quando colui che richiede un aiuto creditizio sulla base della LCAP sottoscrive la decisione con cui l'Ufficio federale delle abitazioni si esprime sulla concessione del credito richiesto, i contenuti del rapporto contrattuale di diritto pubblico che sorge tra le parti sono definiti dalle decisioni sottoscritte dal richiedente ( DTF 129 II 125 consid. 2.5 pag. 129 seg., con rinvii al Messaggio del Consiglio federale del 17 settembre 1973 pubblicato in FF II 1973 533 segg.; sentenza 2C_44/2008 del 28 luglio 2008 consid. 3.1).</w:t>
      </w:r>
    </w:p>
    <w:p>
      <w:r>
        <w:rPr>
          <w:b/>
        </w:rPr>
        <w:t>E. 6.3</w:t>
      </w:r>
    </w:p>
    <w:p>
      <w:r>
        <w:t>Dato che nella fattispecie le decisioni del 30 maggio 1996 dichiarano come parte integrante delle stesse sia i piani degli oneri, sia le liste delle pigioni, sia le "condizioni generali" stilate dall'Ufficio federale delle abitazioni (decisioni del 30 maggio 1996, cifra 3), e che dalle citate "condizioni generali" risulta in modo chiaro che i piani degli oneri sono soggetti ad un adeguamento periodico (condizioni generali, cifra 1), avvenuto anche nella fattispecie, la censura mossa dai ricorrenti, secondo cui le basi legali e contrattuali per riconoscere il rimborso richiesto con l'azione amministrativa del 20 luglio 2009 non erano date, dev'essere pertanto considerata infondata. Poiché i ricorrenti sollevano espressamente la questione, occorre sottolineare che la conclusione appena tratta vale anche per i tassi d'interesse applicati per il calcolo delle rimunerazioni degli anticipi, secondo quanto previsto dall' art. 37 cpv. 4 LCAP . Tali tassi sono infatti indicati nei piani degli oneri prodotti dall'Ufficio federale delle abitazioni (doc. R e T), risultano essere anch'essi oggetto di regolari aggiornamenti (condizioni generali, cifra 1) e devono quindi essere considerati accettati quali parti integranti dei contratti sottoscritti.</w:t>
      </w:r>
    </w:p>
    <w:p>
      <w:r>
        <w:rPr>
          <w:b/>
        </w:rPr>
        <w:t>E. 6.4</w:t>
      </w:r>
    </w:p>
    <w:p>
      <w:r>
        <w:t>Il richiamo al fatto che, in merito agli interessi rimunerativi degli anticipi, il contratto possa eventualmente entrare in contrasto con l' art. 37 cpv. 4 LCAP , che prescrive che le anticipazioni devono essere rimunerate "al massimo" all'interesse usuale per le ipoteche di secondo grado - poiché prevede l'accettazione dei tassi d'interesse indicati nei piani, senza ulteriore verifica del rispetto di questo limite massimo - non giova inoltre ai ricorrenti. Secondo giurisprudenza, la constatazione della non validità di un accordo che si rivela in contrasto con la legge entra infatti in considerazione solo quando detto contrasto comporta per il cittadino delle conseguenze gravi al punto tale che il richiamo alla norma non possa essere considerato abusivo ( DTF 105 Ia 207 consid. 2b pag. 210 seg.; sentenza 2A.414/2006 del 19 marzo 2008 consid. 11). Ma appunto così non è nella fattispecie. Dall'incarto non risulta infatti nessun motivo per ritenere date conseguenze di tal genere, che i ricorrenti del resto neppure sostengono di subire. Proprio in base ai piani degli oneri allestiti dall'Ufficio federale delle abitazioni, essi hanno per altro proceduto a rimborsare gli anticipi ricevuti in un periodo che va tra il dicembre 1999 e il luglio del 2006 (precedente consid. B), attenendosi agli importi fissati. Anche nella presente procedura, si sono inoltre sempre limitati a contestare le modalità del rimborso richiesto, senza realmente giustificare i motivi di una sua interruzione, dopo che vi avevano regolarmente provveduto per oltre sei anni.</w:t>
      </w:r>
    </w:p>
    <w:p>
      <w:r>
        <w:rPr>
          <w:b/>
        </w:rPr>
        <w:t>E. 6.5</w:t>
      </w:r>
    </w:p>
    <w:p>
      <w:r>
        <w:t>Per quanto precede, proprio perché il contratto prevedeva un accordo che vi derogava, abusiva dev'essere considerata pure ogni censura volta a denunciare la mancata produzione da parte dell'Ufficio federale delle abitazioni di documentazione che dimostri che i tassi indicati nei piani ed applicati alla fattispecie non superavano effettivamente i tassi d'interesse usuali per le ipoteche di secondo grado, in base al limite posto dall' art. 37 cpv. 4 LCAP .</w:t>
      </w:r>
    </w:p>
    <w:p>
      <w:r>
        <w:rPr>
          <w:b/>
        </w:rPr>
        <w:t>E. 7</w:t>
      </w:r>
    </w:p>
    <w:p>
      <w:r>
        <w:t>Contrariamente a quanto sostenuto nell'impugnativa, legale deve essere considerato anche il riconoscimento, giusta l' art. 143 CO , di un vincolo di solidarietà tra i ricorrenti.</w:t>
      </w:r>
    </w:p>
    <w:p>
      <w:r>
        <w:rPr>
          <w:b/>
        </w:rPr>
        <w:t>E. 7.1</w:t>
      </w:r>
    </w:p>
    <w:p>
      <w:r>
        <w:t>Il richiamo dell' art. 143 CO nella fattispecie risulta in effetti giustificato dal rinvio contenuto nell' art. 60 LCAP che, in presenza di problemi non risolti dalla legge o dalle sue disposizioni esecutive concernenti i rapporti giuridici tra Confederazione, richiedenti e terzi quali mutui, fideiussioni e costituzioni in pegno, prevede l'applicazione - a titolo suppletivo - delle disposizioni del diritto civile. Né la LCAP né la sua ordinanza di applicazione regolano infatti specificatamente l'aspetto della solidarietà in casi come quello in esame.</w:t>
      </w:r>
    </w:p>
    <w:p>
      <w:r>
        <w:rPr>
          <w:b/>
        </w:rPr>
        <w:t>E. 7.2</w:t>
      </w:r>
    </w:p>
    <w:p>
      <w:r>
        <w:t>Corretto è inoltre il modo in cui il Tribunale amministrativo federale ha applicato la norma in questione. Come rilevato dall'istanza precedente, giusta l' art. 143 CO - in base al quale si ha solidarietà quando più debitori dichiarano di obbligarsi verso il creditore ciascuno singolarmente all'adempimento dell'intera obbligazione (cpv. 1), e secondo cui senza tale dichiarazione di volontà non sorge solidarietà che nei casi determinati dalla legge (cpv. 2) - un accordo in merito ad un vincolo di solidarietà può infatti risultare anche tacitamente dalle circostanze o dal contenuto di un contratto ( DTF 123 III 53 consid. 5a pag. 59 seg; 117 II 50 consid. 5b pag. 64; 116 II 707 consid. 3 pag. 712).</w:t>
      </w:r>
    </w:p>
    <w:p>
      <w:r>
        <w:rPr>
          <w:b/>
        </w:rPr>
        <w:t>E. 7.3</w:t>
      </w:r>
    </w:p>
    <w:p>
      <w:r>
        <w:t>Così è in effetti anche nella fattispecie. Le decisioni di data 30 maggio 1996, divenute poi i contratti di diritto amministrativo che regolano i rapporti con l'Ufficio federale delle abitazioni (precedente consid. 6), sono infatti state sottoscritte, per entrambe le pratiche, sia da A.________, sia da B.________, quali beneficiari degli aiuti richiesti. Così come rilevato dal Tribunale amministrativo federale, e non contestato davanti a questa Corte, i debiti relativi all'aiuto federale - oggetto, a suo tempo, di una richiesta congiunta - non sono inoltre stati suddivisi tra i beneficiari, bensì fissati in un unico ed intero importo, sia per quanto attiene alla pratica xxx che alla pratica zzz. Come visto (precedente consid. 6.2 seg.), dai due contratti risultano pertanto diritti ed obblighi, in particolare l'obbligo di rispettare, durante l'intero periodo dell'aiuto federale, le liste delle pigioni e i piani degli oneri, che legano entrambi, senza distinzione di sorta.</w:t>
      </w:r>
    </w:p>
    <w:p>
      <w:r>
        <w:rPr>
          <w:b/>
        </w:rPr>
        <w:t>E. 7.4</w:t>
      </w:r>
    </w:p>
    <w:p>
      <w:r>
        <w:t>Tale conclusione non può per altro essere messa in qualche modo in discussione neppure dal rinvio, da parte dei ricorrenti, all' art. 649 CC . Questo disposto si limita in effetti a disciplinare i rapporti interni tra comproprietari ( DTF 119 II 330 consid. 7b pag. 332; 117 II 50 consid. 5b pag. 64).</w:t>
      </w:r>
    </w:p>
    <w:p>
      <w:r>
        <w:rPr>
          <w:b/>
        </w:rPr>
        <w:t>E. 8</w:t>
      </w:r>
    </w:p>
    <w:p>
      <w:r>
        <w:t>Per quanto ammissibile, dato che i ricorrenti non si confrontano su questo punto affatto con il giudizio impugnato, respinta dev'essere infine anche la critica riguardante l'ammontare degli interessi di mora riconosciuti all'Ufficio federale delle abitazioni. Il rinvio al saggio del 5 % previsto dall' art. 104 cpv. 1 CO , in assenza di un riferimento più specifico nell' art. 37 cpv. 4 LCAP , che si limita a prescrivere il versamento di un interesse di mora al tasso "usualmente praticato sul mercato", risulta infatti giustificato sia dal menzionato art. 60 LCAP che rimanda - a titolo suppletivo - alle norme del diritto civile per tutti i problemi non risolti dalla LCAP o dalle sue disposizioni esecutive, sia dalla giurisprudenza del Tribunale federale ( DTF 131 II 533 consid. 9.2 pag. 543 seg.; sentenza 2A.439/2003 del 2 febbraio 2004 consid. 7).</w:t>
      </w:r>
    </w:p>
    <w:p>
      <w:r>
        <w:rPr>
          <w:b/>
        </w:rPr>
        <w:t>E. 9</w:t>
      </w:r>
    </w:p>
    <w:p>
      <w:r>
        <w:t>Per quanto precede, nella misura in cui risulta ammissibile, il ricorso dev'essere respinto. Le spese giudiziarie seguono la soccombenza e vengono quindi poste a carico dei ricorrenti, in solido ( art. 66 cpv. 1 LTF ). Non si assegnano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