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2C_511/2025 vom 15. September 2025</w:t>
      </w:r>
    </w:p>
    <w:p>
      <w:r>
        <w:t>Bundesgericht, 2025-09-15, DE</w:t>
      </w:r>
    </w:p>
    <w:p>
      <w:r>
        <w:rPr>
          <w:b/>
        </w:rPr>
        <w:t xml:space="preserve">Quelle: </w:t>
      </w:r>
      <w:r>
        <w:t>https://mcp.opencaselaw.ch/entscheid/bger_2C_511_2025</w:t>
      </w:r>
    </w:p>
    <w:p>
      <w:r>
        <w:t>FR: TF 2C_511/2025 du 15 septembre 2025</w:t>
      </w:r>
    </w:p>
    <w:p>
      <w:r>
        <w:t>IT: TF 2C_511/2025 del 15 settembre 2025</w:t>
      </w:r>
    </w:p>
    <w:p>
      <w:pPr>
        <w:pStyle w:val="Heading2"/>
      </w:pPr>
      <w:r>
        <w:t>Erwägungen</w:t>
      </w:r>
    </w:p>
    <w:p>
      <w:r>
        <w:rPr>
          <w:b/>
        </w:rPr>
        <w:t>E. 1.1</w:t>
      </w:r>
    </w:p>
    <w:p>
      <w:r>
        <w:t>Der 1987 geborene, aus Albanien stammende A.________, heiratete am 16. Februar 2011 eine Schweizerin und erhielt im Familiennachzug eine Aufenthaltsbewilligung. Aus dieser Beziehung gingen drei Kinder hervor (geb. 2010, 2012 und 2015). Die Ehe wurde am 16. Juli 2019 geschieden. Die Kinder wurden unter die gemeinsame elterliche Sorge gestellt, wobei die Obhut der Mutter übertragen wurde.</w:t>
      </w:r>
    </w:p>
    <w:p>
      <w:r>
        <w:t>Mit Verfügung vom 9. Mai 2018 verlängerte das Migrationsamt des Kantons Thurgau die Aufenthaltsbewilligung von A.________, u.a. aufgrund dessen Straffälligkeit, offener Betreibungen und Sozialhilfeschulden, nicht und wies ihn aus der Schweiz weg. Die dagegen erhobenen Rechtsmittel blieben erfolglos (vgl. zuletzt Urteil 2C_397/2020 vom 26. August 2020). Nachdem ein von ihm gestelltes Asylgesuch mit Entscheid des Bundesverwaltungsgerichts vom 12. August 2021 definitiv abgewiesen worden war, verliess A.________ die Schweiz. Am 1. März 2023 anerkannte er die Vaterschaft für ein 2022 geborenes Kind.</w:t>
      </w:r>
    </w:p>
    <w:p>
      <w:r>
        <w:rPr>
          <w:b/>
        </w:rPr>
        <w:t>E. 1.2</w:t>
      </w:r>
    </w:p>
    <w:p>
      <w:r>
        <w:t>Am 5. März 2022 reiste A.________ erneut in die Schweiz ein und heiratete eine andere Schweizerin. Daraufhin erhielt er eine Aufenthaltsbewilligung im Familiennachzug zur Ehefrau. Am 24. September 2024 wurde die kinderlos gebliebene Ehe geschieden.</w:t>
      </w:r>
    </w:p>
    <w:p>
      <w:r>
        <w:rPr>
          <w:b/>
        </w:rPr>
        <w:t>E. 1.3</w:t>
      </w:r>
    </w:p>
    <w:p>
      <w:r>
        <w:t>Mit Verfügung vom 18. Juli 2023 widerrief das Migrationsamt des Kantons St. Gallen die Aufenthaltsbewilligung von A.________ und wies ihn aus der Schweiz weg.</w:t>
      </w:r>
    </w:p>
    <w:p>
      <w:r>
        <w:t>Die dagegen erhobenen Rechtsmittel wiesen das Sicherheits- und Justizdepartement des Kantons St. Gallen mit Entscheid vom 11. März 2023 und das Verwaltungsgericht des Kantons St. Gallen, Abteilung II, mit Entscheid vom 2. Juli 2025 ab.</w:t>
      </w:r>
    </w:p>
    <w:p>
      <w:r>
        <w:rPr>
          <w:b/>
        </w:rPr>
        <w:t>E. 1.4</w:t>
      </w:r>
    </w:p>
    <w:p>
      <w:r>
        <w:t>A.________ gelangt mit Eingabe vom 10. September 2025 (Postaufgabe) an das Bundesgericht. Darin nimmt er Bezug auf "den Brief des Migrationsamts St. Gallen vom 02.07.25", mit welchem jedoch der Entscheid des Verwaltungsgerichts vom 2. Juli 2025 gemeint sein dürfte, welcher der Eingabe beigelegt ist. Konkrete Rechtsbegehren stellt er nicht.</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 und Begründungspflicht ( Art. 106 Abs. 2 BGG ; vgl. BGE 149 I 248 E. 3.1 ; 148 I 104 E. 1.5; 143 II 283 E. 1.2.2 ; 141 I 36 E. 1.3).</w:t>
      </w:r>
    </w:p>
    <w:p>
      <w:r>
        <w:rPr>
          <w:b/>
        </w:rPr>
        <w:t>E. 2.3</w:t>
      </w:r>
    </w:p>
    <w:p>
      <w:r>
        <w:t>Die Vorinstanz hat erwogen, dass der Beschwerdeführer, dessen zweite Ehe mit einer Schweizerin unbestrittenermassen weniger als drei Jahre gedauert hat, die Voraussetzungen für die Erteilung einer Aufenthaltsbewilligung gestützt auf Art. 50 Abs. 1 lit. a AIG (SR 142.20) nicht erfülle. Sodann hat sie das Vorliegen wichtiger persönlicher Gründe für einen weiteren Verbleib des Beschwerdeführers in der Schweiz ( Art. 50 Abs. 1 lit. b und Abs. 2 AIG i.V.m. Art. 8 Ziff. 1 EMRK bzw. Art. 13 Abs. 1 BV ), namentlich aufgrund seiner Beziehung zu seinen hier gefestigt anwesenheitsberechtigten Kindern, eingehend geprüft und verneint. Insgesamt ist sie zum Schluss gelangt, dass der Beschwerdeführer unter keinem Titel einen Rechtsanspruch auf Verlängerung bzw. Erteilung der Aufenthaltsbewilligung habe. Schliesslich hat das Verwaltungsgericht die Wegweisung als verhältnismässig erachtet.</w:t>
      </w:r>
    </w:p>
    <w:p>
      <w:r>
        <w:rPr>
          <w:b/>
        </w:rPr>
        <w:t>E. 2.4</w:t>
      </w:r>
    </w:p>
    <w:p>
      <w:r>
        <w:t>Der Eingabe des Beschwerdeführers an das Bundesgericht lässt sich nicht genau entnehmen, ob diese tatsächlich als Beschwerde gegen den Entscheid des Verwaltungsgerichts vom 2. Juli 2025 zu verstehen ist. Jedenfalls enthält diese keine Rechtsbegehren. Zudem beruft sich der Beschwerdeführer weder ausdrücklich noch sinngemäss auf Bestimmungen des Bundes- oder des Staatsvertragsrechts, die ihm einen potenziellen Bewilligungsanspruch verschaffen könnten und setzt sich nicht ansatzweise mit den vorinstanzlichen Erwägungen auseinander, die zur Abweisung seines Rechtsmittels geführt haben. Vielmehr beschränkt er sich darauf, seinen Unmut über die Art und Weise, wie verschiedene Behörden im Laufe der Jahre mit ihm umgegangen seien, auszudrücken und seine Integrationsbemühungen zu schildern. Die pauschale Behauptung, sein Recht auf ein faires Verfahren sei verletzt worden, weil es so aussehe, als wäre die Entscheidung schon vor Verfahrensbeginn vorbereitet gewesen, genügt den qualifizierten Anforderungen an die Begründung von Verfassungsrügen ( Art. 106 Abs. 2 BGG ) offensichtlich nicht.</w:t>
      </w:r>
    </w:p>
    <w:p>
      <w:r>
        <w:rPr>
          <w:b/>
        </w:rPr>
        <w:t>E. 3.1</w:t>
      </w:r>
    </w:p>
    <w:p>
      <w:r>
        <w:t>Im Ergebnis erweist sich die Eingabe als unzulässig bzw. offensichtlich unbegründet (Art. 42 Abs. 1 und 2, Art. 106 Abs. 2 BGG ). Es ist darauf mit Entscheid der Abteilungspräsidentin als Einzelrichterin im vereinfachten Verfahren nach Art. 108 BGG (Abs. 1 lit. a und b)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