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2C_509/2021 vom 31. August 2022</w:t>
      </w:r>
    </w:p>
    <w:p>
      <w:r>
        <w:t>Bundesgericht, 2022-08-31, IT</w:t>
      </w:r>
    </w:p>
    <w:p>
      <w:r>
        <w:rPr>
          <w:b/>
        </w:rPr>
        <w:t xml:space="preserve">Quelle: </w:t>
      </w:r>
      <w:r>
        <w:t>https://mcp.opencaselaw.ch/entscheid/bger_2C_509_2021</w:t>
      </w:r>
    </w:p>
    <w:p>
      <w:r>
        <w:t>FR: TF 2C_509/2021 du 31 août 2022</w:t>
      </w:r>
    </w:p>
    <w:p>
      <w:r>
        <w:t>IT: TF 2C_509/2021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quando una società invia i propri conti all'AFC, come nella fattispecie (30 giugno 2010), il termine di prescrizione comincia a decorrere il giorno dopo la trasmissione del documento contabile nel quale non sono stati contabilizzati i ricavi ceduti agli azionisti o alle persone vicine alla società ( DTF 143 IV 228 consid. 4.5 e 4.6, con rinvio alla sentenza A.713/1986 del 26 marzo 1987 consid. 5).</w:t>
      </w:r>
    </w:p>
    <w:p>
      <w:r>
        <w:t>In concreto, detto termine ha quindi cominciato a decorrere il 1° luglio 2010 (giorno dopo la trasmissione dei conti che non indicano la distribuzione dissimulata di utili all'AFC; DTF 143 IV 228 consid. 4.7), e avrebbe dovuto arrivare a conclusione il 30 giugno 2017 (intervento della prescrizione dal giorno successivo), ciò che però non è stato in quanto la decisione del 29 aprile 2016 ha comportato una sospensione del termine che si protrae a tutt'oggi ( art. 11 cpv. 3 DPA ; sentenze 2C_638/2021 del 10 giugno 2022 consid. 3.2; 2C_382/2017 del 13 dicembre 2018 consid. 2.5). Con la precisazione che il lasso di tempo di 7 anni si concludeva già il 30 giugno 2017 e non il 1° luglio 2017, come parrebbe indicare il giudizio impugnato,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V.________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V.________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