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509/2007 vom 19. November 2007</w:t>
      </w:r>
    </w:p>
    <w:p>
      <w:r>
        <w:t>Bundesgericht, 2007-11-19, FR</w:t>
      </w:r>
    </w:p>
    <w:p>
      <w:r>
        <w:rPr>
          <w:b/>
        </w:rPr>
        <w:t xml:space="preserve">Quelle: </w:t>
      </w:r>
      <w:r>
        <w:t>https://mcp.opencaselaw.ch/entscheid/bger_2C_509_2007</w:t>
      </w:r>
    </w:p>
    <w:p>
      <w:r>
        <w:t>FR: TF 2C 509/2007 du 19 novembre 2007</w:t>
      </w:r>
    </w:p>
    <w:p>
      <w:r>
        <w:t>IT: TF 2C 509/2007 del 19 novembre 2007</w:t>
      </w:r>
    </w:p>
    <w:p>
      <w:pPr>
        <w:pStyle w:val="Heading2"/>
      </w:pPr>
      <w:r>
        <w:t>Regeste</w:t>
      </w:r>
    </w:p>
    <w:p>
      <w:r>
        <w:t>Rémunération des défenseurs d'office | Droit fondamental</w:t>
      </w:r>
    </w:p>
    <w:p>
      <w:pPr>
        <w:pStyle w:val="Heading2"/>
      </w:pPr>
      <w:r>
        <w:t>Erwägungen</w:t>
      </w:r>
    </w:p>
    <w:p>
      <w:r>
        <w:rPr>
          <w:b/>
        </w:rPr>
        <w:t>E. 1</w:t>
      </w:r>
    </w:p>
    <w:p>
      <w:r>
        <w:t>Déposé en temps utile ( art. 100 al. 1 LTF ) et dans les formes prescrites par la loi ( art. 42 LTF ) contre une décision rendue en dernière instance cantonale dans une cause de droit public, le présent recours est recevable en vertu des art. 82 ss LTF .</w:t>
      </w:r>
    </w:p>
    <w:p>
      <w:r>
        <w:rPr>
          <w:b/>
        </w:rPr>
        <w:t>E. 2</w:t>
      </w:r>
    </w:p>
    <w:p>
      <w:r>
        <w:t>A titre préliminaire, on remarquera que le montant des débours, soit 107,60 fr. TVA comprise, n'est pas remis en cause. De même, le montant horaire de la rémunération de l'avocat d'office retenu par le Président, soit 180 fr. TVA non comprise, ne fait pas l'objet d'une contestation en soi. Il n'y a donc pas de raison de revenir sur ledit montant, d'autant qu'il correspond à celui qui a été établi par la jurisprudence récente ( ATF 132 I 201 ss, spéc. consid. 8.7 p. 217/218; cf. aussi arrêt 2P.326/2006 du 10 juillet 2007, consid. 3.1). Le recourant fait certes valoir, à titre subsidiaire, qu'il y aurait lieu de lui appliquer par analogie le tarif forfaitaire pour la rémunération des défenseurs d'office prévu par la loi vaudoise du 7 octobre 2003 sur le tarif des frais judiciaires pénaux. Il ne démontre cependant pas en quoi ce tarif lui serait plus favorable. Comme il argumente essentiellement sur la base du tarif horaire de 180 fr., TVA non comprise, et que ce tarif correspond à celui qui est prévu par la jurisprudence, il n'y a aucune raison de s'en écarter.</w:t>
      </w:r>
    </w:p>
    <w:p>
      <w:r>
        <w:rPr>
          <w:b/>
        </w:rPr>
        <w:t>E. 3</w:t>
      </w:r>
    </w:p>
    <w:p>
      <w:r>
        <w:t>Le recourant se plaint que la décision attaquée soit insuffisamment motivée et viole ainsi le droit d'être entendu garanti à l' art. 29 al. 2 Cst.</w:t>
      </w:r>
    </w:p>
    <w:p>
      <w:r>
        <w:rPr>
          <w:b/>
        </w:rPr>
        <w:t>E. 3.1</w:t>
      </w:r>
    </w:p>
    <w:p>
      <w:r>
        <w:t>Le droit d'être entendu implique notamment pour l'autorité l'obligation de motiver sa décision. L'autorité peut toutefois se limiter à l'essentiel. Il suffit qu'elle mentionne même brièvement les motifs qui l'ont guidée et sur lesquels elle a fondé sa décision, sans qu'elle soit tenue de répondre à tous les arguments avancés ( ATF 133 III 439 consid. 3.3 p. 445; 130 II 530 consid. 4.3 p. 540). L'étendue de l'obligation de motiver dépend de la complexité de la cause à juger ( ATF 111 Ia 2 consid. 4b p. 4).</w:t>
      </w:r>
    </w:p>
    <w:p>
      <w:r>
        <w:rPr>
          <w:b/>
        </w:rPr>
        <w:t>E. 3.2</w:t>
      </w:r>
    </w:p>
    <w:p>
      <w:r>
        <w:t>La motivation de la décision entreprise est extrêmement sommaire, voire à la limite de l'admissible. On comprend cependant que le Président a opéré une réduction sur le nombre d'heures à prendre en considération, n'acceptant de tenir compte que des heures nécessaires, selon lui, à la défense d'office de B.________. Si ce raisonnement est correct dans son principe, comme on le verra encore ci-après (cf. consid. 4), son application est difficile en l'espèce, dans la mesure où le recourant n'a pas précisé exactement à quoi correspondait matériellement chacune des opérations qu'il avait effectuées. Dans ces conditions, il était donc admissible que le Président procède à une estimation globale. Dès lors, on ne saurait suivre le recourant quand il soutient que le Président a violé l' art. 29 al. 2 Cst. , faute d'avoir suffisamment motivé la décision attaquée.</w:t>
      </w:r>
    </w:p>
    <w:p>
      <w:r>
        <w:rPr>
          <w:b/>
        </w:rPr>
        <w:t>E. 4</w:t>
      </w:r>
    </w:p>
    <w:p>
      <w:r>
        <w:t>Le recourant fait valoir que son activité d'avocat d'office ici en cause a nécessité 32h.55min. En lui allouant une indemnité de 2'044,40 fr. le Président aurait donc appliqué un tarif horaire de 62,80 fr., nettement inférieur au tarif établi par la jurisprudence récente ( ATF 132 I 201 ss, spéc. consid. 8.7 p. 217/218; cf. aussi arrêt 2P.326/2006 du 10 juillet 2007, consid. 3.1), et aurait ainsi violé les art. 9 et 27 Cst. Au vu du dossier, il n'y a pas de raison de mettre en doute le nombre d'heures de travail effectuées par le recourant. Ce qui était toutefois décisif pour fixer sa rémunération, c'était le nombre d'heures nécessaires pour assurer la défense d'office de B.________. Or, à la lecture du relevé d'activités précité du 30 mai 2007, on est surpris par le nombre élevé d'opérations annexes - telles que conférences, entretiens téléphoniques, courriers, etc. -, dans une cause qui n'était pas particulièrement compliquée. En outre, dans l'appréciation du travail indispensable, on notera que le défenseur d'office doit initialement prendre connaissance du dossier, mais que cette étude ne doit pas être entièrement répétée à chaque phase de la procédure. On est dès lors frappé par le temps que le recourant a consacré à la seconde procédure de recours cantonale, soit presque trois fois le temps qu'il a voué à la première procédure de recours cantonale. Dans l'ensemble, il apparaît - comme le Président l'a retenu -, que les opérations effectuées n'étaient pas toutes nécessaires à l'exécution du mandat d'office qui couvrait, en l'espèce, une demande de mise en liberté, puis l'opposition à la prolongation de la détention. L'étude du dossier montre qu'une partie des opérations semble liée à la remise en cause de la décision de renvoi elle-même, soit à l'obtention de la possibilité de rester en Suisse, problème sortant en bonne partie en tout cas du cadre du mandat d'office. Tout bien considéré, le nombre d'heures retenu par le Président est exagérément bas, même si l'on tient compte de sa marge d'appréciation. 10h. ne sont manifestement pas suffisantes pour assurer le mandat d'office dans les deux procédures mentionnées ci-dessus, comportant chacune une audience devant le Juge de paix puis un recours à la Chambre des recours. En revanche, sur la base des considérations émises plus haut, on peut admettre que le temps nécessaire pour exécuter le mandat d'office était en l'espèce de l'ordre de 20h. (10h. pour chacune des deux procédures). Dès lors, il y a lieu d'allouer au recourant pour sa rémunération 3'873,60 fr. (20h. à 180 fr. = 3'600 fr. + TVA de 273,60 fr.), montant auquel il faut ajouter les débours par 107,60 fr. TVA comprise, d'où un montant global pour les honoraires et débours, TVA comprise, de 3'981,20 fr.</w:t>
      </w:r>
    </w:p>
    <w:p>
      <w:r>
        <w:rPr>
          <w:b/>
        </w:rPr>
        <w:t>E. 5</w:t>
      </w:r>
    </w:p>
    <w:p>
      <w:r>
        <w:t>Vu ce qui précède, il convient d'admettre partiellement le recours, d'annuler la décision attaquée et de fixer la rémunération d'office du recourant à 3'981,20 fr., TVA et débours compris. Compte tenu de l'issue du recours, il y a lieu de répartir les frais judiciaires également entre le canton de Vaud, dont l'intérêt patrimonial est en jeu ( art. 66 al. 4 LTF ), d'une part, et le recourant ( art. 66 al. 1 LTF ), d'autre part. Obtenant partiellement gain de cause, le recourant a droit à des dépens réduits ( art. 68 al. 1 LTF ; ATF 125 II 518 consid. 5b p. 520).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