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2C_508/2021 vom 31. August 2022</w:t>
      </w:r>
    </w:p>
    <w:p>
      <w:r>
        <w:t>Bundesgericht, 2022-08-31, IT</w:t>
      </w:r>
    </w:p>
    <w:p>
      <w:r>
        <w:rPr>
          <w:b/>
        </w:rPr>
        <w:t xml:space="preserve">Quelle: </w:t>
      </w:r>
      <w:r>
        <w:t>https://mcp.opencaselaw.ch/entscheid/bger_2C_508_2021</w:t>
      </w:r>
    </w:p>
    <w:p>
      <w:r>
        <w:t>FR: TF 2C_508/2021 du 31 août 2022</w:t>
      </w:r>
    </w:p>
    <w:p>
      <w:r>
        <w:t>IT: TF 2C_508/2021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quindi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art. 13 cpv. 1 lett. a LIP ), doveva essere considerato plausibile e confermato a sua volta (giudizio impugnato, consid. 7.2 e 7.3);</w:t>
      </w:r>
    </w:p>
    <w:p>
      <w:r>
        <w:t>(c) che pure da confermare era l'attribuzione di queste prestazioni al ricorrente, in ragione del 78 %, e a E.________, in ragione del 22 %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7 ottobre 2015, esso non sia ancora trascorso ( art. 11 e 12 DPA in relazione con l' art. 333 cpv. 6 lett. b CP ; DTF 143 IV 228 consid. 4.2-4.4; sentenza 2C_822/2021 del 26 gennaio 2022 consid. 5.1 seg., nel quale il Tribunale federale ha esposto nuovamente e nel dettaglio la propria prassi, indicando anche che non vi sono motivi per discostarsene; sentenze 2C_867/2018 del 6 novembre 2019 consid. 4.2 e 2C_382/2017 del 13 dicembre 2018 consid. 2).</w:t>
      </w:r>
    </w:p>
    <w:p>
      <w:r>
        <w:rPr>
          <w:b/>
        </w:rPr>
        <w:t>E. 4.3</w:t>
      </w:r>
    </w:p>
    <w:p>
      <w:r>
        <w:t>In effetti, quando una società invia i propri conti all'AFC, come nella fattispecie (27 novembre 2008), il termine di prescrizione comincia a decorrere il giorno dopo la trasmissione del documento contabile nel quale non sono stati contabilizzati i ricavi ceduti agli azionisti o alle persone vicine alla società ( DTF 143 IV 228 consid. 4.5 e 4.6, con rinvio alla sentenza A.713/1986 del 26 marzo 1987 consid. 5).</w:t>
      </w:r>
    </w:p>
    <w:p>
      <w:r>
        <w:t>In concreto, detto termine ha quindi cominciato a decorrere il 28 novembre 2008 (giorno dopo la trasmissione dei conti che non indicano la distribuzione dissimulata di utili all'AFC, avvenuta il 27 novembre 2008; giudizio impugnato, consid. 4.2), e avrebbe dovuto arrivare a conclusione il 27 novembre 2015 (intervento della prescrizione il giorno successivo), ciò che però non è stato in quanto la decisione del 7 ottobre 2015 ne ha comportato una sospensione che si protrae a tutt'oggi ( art. 11 cpv. 3 DPA ; sentenze 2C_638/2021 del 10 giugno 2022 consid. 3.2; 2C_382/2017 del 13 dicembre 2018 consid. 2.5). Con la precisazione che il termine di prescrizione di 7 anni ha cominciato a decorrere un giorno dopo rispetto a quanto indicato nel giudizio impugnato (28 novembre invece che 27 novembre), perché il giorno del compimento "dell'attività colpevole" non conta,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giunte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alla quale ha proceduto il fisco in relazione ai ricavi conseguiti dalla U.________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U.________ SA (giudizio impugnato, consid. 9.5). Sia nel caso delle perizie che nel caso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che erano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