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506/2017 vom 19. Juni 2017</w:t>
      </w:r>
    </w:p>
    <w:p>
      <w:r>
        <w:t>Bundesgericht, 2017-06-19, IT</w:t>
      </w:r>
    </w:p>
    <w:p>
      <w:r>
        <w:rPr>
          <w:b/>
        </w:rPr>
        <w:t xml:space="preserve">Quelle: </w:t>
      </w:r>
      <w:r>
        <w:t>https://mcp.opencaselaw.ch/entscheid/bger_2C_506_2017</w:t>
      </w:r>
    </w:p>
    <w:p>
      <w:r>
        <w:t>FR: TF 2C 506/2017 du 19 juin 2017</w:t>
      </w:r>
    </w:p>
    <w:p>
      <w:r>
        <w:t>IT: TF 2C 506/2017 del 19 giugno 2017</w:t>
      </w:r>
    </w:p>
    <w:p>
      <w:pPr>
        <w:pStyle w:val="Heading2"/>
      </w:pPr>
      <w:r>
        <w:t>Regeste</w:t>
      </w:r>
    </w:p>
    <w:p>
      <w:r>
        <w:t>Rifuto del rinnovo del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La causa verte sul rifiuto del rinnovo del permesso rilasciato alla ricorrente, quindi sulla questione di sapere se siano davvero venuti a mancare i requisiti per riconoscerle un permesso di dimora in base all'ALC, al quale come cittadina italiana può, di principio, appellarsi, motivo per cui l'eccezione di cui all'art. 83 lett. c n. 2 LTF non trova applicazione in concreto (sentenza 2C_397/2011 del 10 ottobre 2011 consid. 1.1 e rinvio), la questione dell'effettivo diritto venendo esaminata quale aspetto di merito ( DTF 136 II 177 consid. 1.1 pag. 179; sentenza 2C_558/2009 del 26 aprile 2010 consid. 1 non pubblicato in DTF 136 II 329 ). L'impugnativa, diretta contro una decisione finale ( art. 90 LTF ) e presentata in tempo utile ( art. 100 cpv. 1 LTF ) è, quindi, in linea di principio, ammissibile quale ricorso in materia di diritto pubblico.</w:t>
      </w:r>
    </w:p>
    <w:p>
      <w:r>
        <w:rPr>
          <w:b/>
        </w:rPr>
        <w:t>E. 2.3</w:t>
      </w:r>
    </w:p>
    <w:p>
      <w:r>
        <w:t>Nuovi fatti e nuovi mezzi di prova possono essere addotti soltanto se ne dà motivo la decisione dell'autorità inferiore ( art. 99 cpv. 1 LTF ; cfr. anche DTF 129 I 49 consid. 3 pag. 57; 128 I 354 consid. 6c pag. 357). La memoria ricorsuale deve esporre le ragioni per cui questa condizione risulterebbe adempiuta ( DTF 133 III 393 consid. 3 pag. 395). È comunque esclusa l'allegazione di fatti accaduti dopo la pronuncia del giudizio impugnato così come di prove non ancora esistenti a tale momento (cosiddetti veri nova, DTF 133 IV 342 consid. 2.1 pag. 343; 130 II 493 consid. 2 p. 497; 128 II 145 consid. 1.2.1 pag. 150). La ricorrente afferma che a suo padre sarebbe stato riconosciuto un diritto ad una rendita d'invalidità. Detta dichiarazione, non documentata, si riferisce tuttavia a fatti accaduti dopo l'emanazione della sentenza impugnata e non va pertanto considerata.</w:t>
      </w:r>
    </w:p>
    <w:p>
      <w:r>
        <w:rPr>
          <w:b/>
        </w:rPr>
        <w:t>E. 3.1</w:t>
      </w:r>
    </w:p>
    <w:p>
      <w:r>
        <w:t>La ricorrente non rimette in discussione le conclusioni alle quali è giunta la Corte cantonale riguardo al fatto che nulla può dedurre dall'Accordo sulla libera circolazione rispettivamente che il mancato rinnovo del proprio permesso di dimora è giustificato dal profilo del diritto interno, segnatamente dell'art. 62 cpv. 1 lett. e e d LStr. In merito a questi aspetti, che non occorre più di conseguenza riesaminare in questa sede, ci si limita a rinviare ai pertinenti considerandi del giudizio contestato (cfr. sentenza cantonale pag. 4 a 7, consid. 3.1 - 4.2) ai quali questa Corte si allinea.</w:t>
      </w:r>
    </w:p>
    <w:p>
      <w:r>
        <w:rPr>
          <w:b/>
        </w:rPr>
        <w:t>E. 3.2</w:t>
      </w:r>
    </w:p>
    <w:p>
      <w:r>
        <w:t>Nel suo gravame, dal contenuto a dire il vero alquanto confuso, la ricorrente si richiama ad una vertenza che l'opporrebbe alla Cassa cantonale di compensazione AVS/AI/IPG in materia di esenzione dall'obbligo di assicurazione ai sensi dell'art. 2 cpv. 4 dell'ordinanza del 27 giugno 1995 sull'assicurazione malattie (OAMal; RS 803.102), esenzione che le sarebbe stata rifiutata a torto siccome beneficerebbe di una copertura assicurativa in Italia ove vive e lavora la madre. Tale problematica esula tuttavia dall'oggetto del litigio e non va pertanto esaminata oltre.</w:t>
      </w:r>
    </w:p>
    <w:p>
      <w:r>
        <w:rPr>
          <w:b/>
        </w:rPr>
        <w:t>E. 3.3</w:t>
      </w:r>
    </w:p>
    <w:p>
      <w:r>
        <w:t>La ricorrente censura in seguito la violazione del principio della proporzionalità di cui all'art. 96 LStr, siccome il rifiuto di rinnovarle il permesso di dimora UE/AELS le precluderebbe la possibilità di portare a termine la propria formazione universitaria. A torto. Come ben rilevato dal Tribunale cantonale amministrativo un trasferimento della ricorrente in Italia non è per niente improponibile, anzi risulta perfettamente esigibile. In primo luogo si rileva che risiede in Svizzera dall'agosto 2014 (dove la sua presenza è solo tollerata dall'agosto 2016 in attesa di una decisione definitiva sul rinnovo del suo permesso di dimora) quindi da pochi anni. Va poi osservato che la cultura e lo stile di vita della vicina Penisola le sono noti, avendovi vissuto con la madre e le sorelle, tuttora lì domiciliate, prima di venire in Svizzera all'età di 23 anni e non si discostano del resto in maniera sostanziale da quelli del nostro Paese. Infine, contrariamente a quanto addotto, un suo rientro in Italia non dovrebbe nuocere ai suoi studi dato che, come emerge dalla sentenza cantonale, dovrebbe averli già terminati siccome doveva sostenere la tesi di Bachelor nel mese di febbraio 2017. Ma quand'anche ciò non fosse il caso, un trasloco nella fascia di confine le permetterebbe comunque di continuare la formazione iniziata in Svizzera.</w:t>
      </w:r>
    </w:p>
    <w:p>
      <w:r>
        <w:rPr>
          <w:b/>
        </w:rPr>
        <w:t>E. 3.4</w:t>
      </w:r>
    </w:p>
    <w:p>
      <w:r>
        <w:t>Infine la ricorrente lamenta la disattenzione dell' art. 8 CEDU siccome l'allontanamento dal padre pregiudicherebbe in modo inammissibile i propri equilibri familiari.</w:t>
      </w:r>
    </w:p>
    <w:p>
      <w:r>
        <w:rPr>
          <w:b/>
        </w:rPr>
        <w:t>E. 3.5</w:t>
      </w:r>
    </w:p>
    <w:p>
      <w:r>
        <w:t>Dal profilo dell'applicabilità dell' art. 8 n. 1 CEDU è determinante l'età del figlio quando il Tribunale federale si pronuncia ( DTF 136 II 497 consid. 3.2 pag. 500 e numerosi richiami). La ricorrente, nata nel 1991, è maggiorenne, motivo per cui nulla può essere dedotto dal citato disposto convenzionale. Inoltre, non ha preteso né dimostrato che si trova in uno stato di qualificata dipendenza dal padre, suscettibile di permetterle di richiamarvisi nonostante la maggiore età ( DTF 137 I 154 consid. 3.4.2 pag. 159; 129 II 11 consid. 2 pag. 13 seg.). Ma quand'anche gli elementi necessari per validamente richiamarsi all' art. 8 n. 1 CEDU fossero per ipotesi dati, va ricordato che i diritti in esso garantiti non sono assoluti e che la politica d'immigrazione restrittiva praticata dalle autorità costituisce una misura legittima ai sensi dell' art. 8 n. 2 CEDU che permette di limitare il diritto alla vita familiare ( DTF 137 I 284 consid. 2.1 pag. 287 seg. con rinvii), motivo per cui il rifiuto opposto alla ricorrente non viola l' art. 8 CEDU .</w:t>
      </w:r>
    </w:p>
    <w:p>
      <w:r>
        <w:rPr>
          <w:b/>
        </w:rPr>
        <w:t>E. 4</w:t>
      </w:r>
    </w:p>
    <w:p>
      <w:r>
        <w:t>Per i motivi illustrati il ricorso si avvera pertanto manifestamente infondato e può quindi essere respinto in base alla procedura semplificata dell' art. 109 LTF .</w:t>
      </w:r>
    </w:p>
    <w:p>
      <w:r>
        <w:rPr>
          <w:b/>
        </w:rPr>
        <w:t>E. 5</w:t>
      </w:r>
    </w:p>
    <w:p>
      <w:r>
        <w:t>Le spese giudiziarie seguono la soccombenza e vengono addossate alla ricorrente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