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2C_506/2011 vom 13. Dezember 2011</w:t>
      </w:r>
    </w:p>
    <w:p>
      <w:r>
        <w:t>Bundesgericht, 2011-12-13, FR</w:t>
      </w:r>
    </w:p>
    <w:p>
      <w:r>
        <w:rPr>
          <w:b/>
        </w:rPr>
        <w:t xml:space="preserve">Quelle: </w:t>
      </w:r>
      <w:r>
        <w:t>https://mcp.opencaselaw.ch/entscheid/bger_2C_506_2011</w:t>
      </w:r>
    </w:p>
    <w:p>
      <w:r>
        <w:t>FR: TF 2C_506/2011 du 13 décembre 2011</w:t>
      </w:r>
    </w:p>
    <w:p>
      <w:r>
        <w:t>IT: TF 2C_506/2011 del 13 dicembre 2011</w:t>
      </w:r>
    </w:p>
    <w:p>
      <w:pPr>
        <w:pStyle w:val="Heading2"/>
      </w:pPr>
      <w:r>
        <w:t>Erwägungen</w:t>
      </w:r>
    </w:p>
    <w:p>
      <w:r>
        <w:rPr>
          <w:b/>
        </w:rPr>
        <w:t>E. 1</w:t>
      </w:r>
    </w:p>
    <w:p>
      <w:r>
        <w:t>Le recours est dirigé contre un jugement final (cf. art. 90 LTF ) rendu dans une cause de droit public (cf. art. 82 let. a LTF ) par un tribunal supérieur de dernière instance cantonale (cf. art. 86 al. 1 let . d et al. 2 LTF). Il échappe à l'exception de l' art. 83 let . c ch. 2 LTF du moment qu'il a pour objet la révocation d'une autorisation d'établissement au maintien de laquelle le recourant a en principe droit (cf. ATF 135 II 1 consid. 1.2.1 p. 4)</w:t>
      </w:r>
    </w:p>
    <w:p>
      <w:r>
        <w:rPr>
          <w:b/>
        </w:rPr>
        <w:t>E. 2</w:t>
      </w:r>
    </w:p>
    <w:p>
      <w:r>
        <w:t>Aucun fait nouveau ni preuve nouvelle ne peut être présenté à moins de résulter de la décision de l'autorité précédente ( art. 99 LTF ). Il s'ensuit que les allégations de faits énoncées et les preuves annexées au courrier adressé par le recourant au Tribunal fédéral le 14 octobre 2011 sont irrecevables.</w:t>
      </w:r>
    </w:p>
    <w:p>
      <w:r>
        <w:rPr>
          <w:b/>
        </w:rPr>
        <w:t>E. 3</w:t>
      </w:r>
    </w:p>
    <w:p>
      <w:r>
        <w:t>Invoquant l' art. 29 al. 2 Cst. , le recourant se plaint de la violation de son droit d'être entendu.</w:t>
      </w:r>
    </w:p>
    <w:p>
      <w:r>
        <w:rPr>
          <w:b/>
        </w:rPr>
        <w:t>E. 3.1</w:t>
      </w:r>
    </w:p>
    <w:p>
      <w:r>
        <w:t>Le droit d'être entendu, tel qu'il est garanti par l' art. 29 al. 2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II 266 consid. 3.2 p. 270 s.).</w:t>
      </w:r>
    </w:p>
    <w:p>
      <w:r>
        <w:rPr>
          <w:b/>
        </w:rPr>
        <w:t>E. 3.2</w:t>
      </w:r>
    </w:p>
    <w:p>
      <w:r>
        <w:t>Le recourant se plaint de ce que l'instance précédente n'ait pas sanctionné le refus du Service de la population de lui accorder un délai supplémentaire pour se prononcer sur la décision de révocation de son autorisation d'établissement.</w:t>
      </w:r>
    </w:p>
    <w:p>
      <w:r>
        <w:t>Le courrier adressé le 2 septembre 2010 par le Service de la population au recourant pour l'informer de la révocation de son autorisation d'établissement et lui impartissant un délai au 4 octobre 2010 pour déposer ses observations n'est parvenu à destination qu'après l'échéance du délai, le 7 octobre 2011. L'instance précédente a néanmoins jugé que la demande d'octroi d'un délai supplémentaire formée le 17 novembre 2010 pouvait être écartée sans violer le droit d'être entendu du recourant, dont elle a souligné qu'il connaissait bien le français et pouvait dès lors comprendre l'importance du courrier du 7 octobre 2010. En attendant plus d'un mois pour requérir l'octroi d'un délai supplémentaire, le recourant n'avait, selon elle, pas fait preuve de la diligence minimale requise en pareilles circonstances.</w:t>
      </w:r>
    </w:p>
    <w:p>
      <w:r>
        <w:t>Il est vrai que le recourant n'a pas réagi dans un délai raisonnable lorsqu'il a pris connaissance du courrier du 2 septembre 2010. Toutefois, lorsque l'autorité de première instance a pris connaissance de la demande du 17 novembre 2010 d'octroi d'un délai supplémentaire la décision de révocation n'avait pas encore été rendue puisque celle-ci l'a été le 23 novembre 2010 seulement et était annexée au courrier qui refusait l'octroi du délai supplémentaire. Le recourant fait remarquer à juste titre qu'il n'y avait aucune urgence à rendre la décision de révocation à un moment où l'autorité de première instance prenait connaissance des retards dans l'acheminement du courrier du 2 septembre 2010 et de la volonté affirmée de l'intéressé de faire usage de son droit d'être entendu en déposant des observations. Il n'était ainsi pas possible de comprendre l'absence de réaction du recourant comme une renonciation à l'exercice de son droit d'être entendu.</w:t>
      </w:r>
    </w:p>
    <w:p>
      <w:r>
        <w:t>Dans ces conditions, le refus du Service de la population d'octroyer un délai supplémentaire violait l' art. 29 al. 2 Cst. Cette violation a toutefois été considérée comme guérie par l'instance précédente, ce que conteste le recourant.</w:t>
      </w:r>
    </w:p>
    <w:p>
      <w:r>
        <w:rPr>
          <w:b/>
        </w:rPr>
        <w:t>E. 4</w:t>
      </w:r>
    </w:p>
    <w:p>
      <w:r>
        <w:t>Invoquant l' art. 29 al. 2 Cst. et l'interdiction de l'arbitraire, le recourant conteste la guérison de son droit d'être entendu, du moment que l'instance précédente a refusé la mise en oeuvre des preuves qu'il avait dûment offertes en procédure cantonale par appréciation anticipée de celles-ci.</w:t>
      </w:r>
    </w:p>
    <w:p>
      <w:r>
        <w:rPr>
          <w:b/>
        </w:rPr>
        <w:t>E. 4.1</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135 I 279 consid. 2.6.1 p. 285; 133 I 201 consid. 2.2 p. 204; 118 Ib 111 consid. 4b p. 120 s.; 116 Ia 94 consid. 2 p. 95).</w:t>
      </w:r>
    </w:p>
    <w:p>
      <w:r>
        <w:t>En l'espèce, l'instance précédente n'a pas empêché le recourant d'alléguer toutes les preuves qu'il souhaitait faire administrer et ce dernier ne le soutient pas non plus. Sous cet angle, par conséquent, la violation du droit d'être entendu commise par l'autorité de première instance a bel et bien été guérie. Reste par conséquent à examiner si l'instance précédente pouvait sans arbitraire renoncer à administrer les preuves en cause.</w:t>
      </w:r>
    </w:p>
    <w:p>
      <w:r>
        <w:rPr>
          <w:b/>
        </w:rPr>
        <w:t>E. 4.2</w:t>
      </w:r>
    </w:p>
    <w:p>
      <w:r>
        <w:t>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130 II 425 consid. 2.1 p. 429). Si l'appréciation n'est pas arbitraire, il n'y a pas de violation du droit d'être entendu.</w:t>
      </w:r>
    </w:p>
    <w:p>
      <w:r>
        <w:rPr>
          <w:b/>
        </w:rPr>
        <w:t>E. 4.2.1</w:t>
      </w:r>
    </w:p>
    <w:p>
      <w:r>
        <w:t>Le recourant fait référence à l'art. 5 par. 1 Annexe I à l'accord du 21 juin 1999 entre la Confédération suisse, d'une part, et la Communauté européenne et ses Etats membres, d'autre part, sur la libre circulation des personnes (ALCP; RS 0.142.112.681). Il soutient que l'instance précédente n'avait pas les éléments nécessaires pour appliquer le droit en vigueur. Elle ne pouvait notamment pas juger s'il représentait une menace réelle et d'une certaine gravité affectant un intérêt fondamental de la société, ce que l'expertise psychiatrique sollicitée aurait permis d'établir. Elle ne disposait pas non plus d'éléments suffisants pour tenir dûment compte de son intérêt privé à rester en Suisse, ce que la production du rapport de détention du Tulipier, l'audition de son employeur, de son épouse et du Service de protection de la jeunesse auraient permis d'établir.</w:t>
      </w:r>
    </w:p>
    <w:p>
      <w:r>
        <w:rPr>
          <w:b/>
        </w:rPr>
        <w:t>E. 4.2.2</w:t>
      </w:r>
    </w:p>
    <w:p>
      <w:r>
        <w:t>L'instance précédente et le recourant ont correctement exposé le droit applicable. Il suffit de préciser encore ici qu'en règle générale, une personne porte atteinte "de manière très grave" à la sécurité et à l'ordre publics - et le Tribunal fédéral se montre particulièrement rigoureux en suivant en cela la pratique de la Cour européenne des droits de l'homme - lorsque les actes lèsent ou compromettent des biens juridiques particulièrement importants comme l'intégrité corporelle, physique ou sexuelle ( ATF 137 II 297 consid. 3 et sur la notion de menace actuelle pour l'ordre public: ATF 136 II 5 consid. 4.2 p. 20; 134 II 10 consid. 4.3 p. 24; 130 II 176 consid. 3.4.1, 4.2 et 4.3.1 et les références). L'évaluation du risque de récidive sera d'autant plus rigoureuse que le bien juridique menacé est important ( ATF 136 II 5 consid. 4.2 p. 20; 130 II 493 consid. 3.3 p. 499 s.).</w:t>
      </w:r>
    </w:p>
    <w:p>
      <w:r>
        <w:rPr>
          <w:b/>
        </w:rPr>
        <w:t>E. 4.2.3</w:t>
      </w:r>
    </w:p>
    <w:p>
      <w:r>
        <w:t>L'instance précédente a constaté que les infractions pour lesquelles le recourant s'est vu infliger une peine de privation de liberté de cinq ans, à savoir actes d'ordre sexuel avec des mineurs, contrainte sexuelle et viol, faits commis au préjudice de sa belle-fille, étaient extrêmement graves, que les faits délictueux avaient duré deux ans et n'avaient pris fin que par l'arrestation de leur auteur et, suivant le rapport d'expertise psychiatrique établi le 3 avril 2009, qu'un risque de récidive n'est pas exclu du fait que l'accusé nie totalement l'incrimination pénale. Elle constate à cet égard que le recourant reprochait aux premiers juges de s'être fondés sur les dires de la victime pour retenir le viol plutôt qu'une "grosse dispute" et contestait même que les traces de son propre sperme sur un sous-vêtement de la victime constituaient la preuve qu'il avait entretenu avec elle des relations sexuelles. Elle constate également qu'il avait persisté à mettre en cause les analyses génétiques menées sur le corps de sa victime jusque devant le Tribunal fédéral. Cette persistance criante à nier les actes commis dénotait, selon elle, une absence totale d'introspection et d'amendement de la part du recourant qui fondait un risque important de réitération d'actes violents à sa libération.</w:t>
      </w:r>
    </w:p>
    <w:p>
      <w:r>
        <w:t>Cette conclusion n'est pas insoutenable du moment qu'elle se fonde non seulement sur le rapport d'expertise du 3 avril 2009, mais également sur les dénégations du recourant postérieures à ce même rapport d'expertise. Il était certes loisible au recourant de se défendre contre les accusations pénales dont il faisait l'objet, mais il était en revanche révélateur du degré de dangerosité et de récidive que ce dernier persiste à nier des faits établis par procédés scientifiques. A cela s'ajoute que ces dénégations ont été formulées alors que le recourant se trouvait déjà en prison, ce qui permet d'écarter toute influence bénéfique de l'incarcération sur ce dernier. Au surplus, comme le rapport d'expertise n'a pas précisé que le risque de récidive subsistait uniquement à l'endroit de la belle-fille du recourant, il n'est pas suffisant de plaider le caractère contextuel des crimes commis pour établir le caractère arbitraire de l'appréciation anticipée des preuves.</w:t>
      </w:r>
    </w:p>
    <w:p>
      <w:r>
        <w:t>Eu égard au fait que le recourant a porté atteinte à l'intégrité sexuelle d'une mineure, soit à un bien juridique particulièrement important, l'instance précédente pouvait sans arbitraire juger le risque de récidive, considéré rigoureusement, comme suffisamment établi par l'expertise dont elle disposait ainsi que les faits ultérieurs la corroborant et par conséquent refuser de manière anticipée la nouvelle expertise requise par le recourant. Le grief est rejeté.</w:t>
      </w:r>
    </w:p>
    <w:p>
      <w:r>
        <w:rPr>
          <w:b/>
        </w:rPr>
        <w:t>E. 5</w:t>
      </w:r>
    </w:p>
    <w:p>
      <w:r>
        <w:t>Dans un grief séparé, le recourant se plaint du caractère prématuré de la révocation de son autorisation d'établissement. Il perd de vue qu'il n'est pas contraire au droit interne ni au droit conventionnel de statuer sur l'expulsion le plus tôt possible respectivement avant que la peine ou la mesure ait fini d'être exécutée (cf. ATF 137 I 233 consid. 5 p. 234 ss).</w:t>
      </w:r>
    </w:p>
    <w:p>
      <w:r>
        <w:t>Pour le surplus, c'est à bon droit que l'instance précédente a jugé que les conditions objectives conduisant à la révocation de l'autorisation d'établissement étaient réunies en l'espèce.</w:t>
      </w:r>
    </w:p>
    <w:p>
      <w:r>
        <w:rPr>
          <w:b/>
        </w:rPr>
        <w:t>E. 6</w:t>
      </w:r>
    </w:p>
    <w:p>
      <w:r>
        <w:t>Le recourant se plaint de la violation de la convention européenne des droits de l'homme et notamment du principe de proportionnalité dans la pesée des intérêts publics et privés en présence.</w:t>
      </w:r>
    </w:p>
    <w:p>
      <w:r>
        <w:rPr>
          <w:b/>
        </w:rPr>
        <w:t>E. 6.1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w:t>
      </w:r>
    </w:p>
    <w:p>
      <w:r>
        <w:rPr>
          <w:b/>
        </w:rPr>
        <w:t>E. 6.2</w:t>
      </w:r>
    </w:p>
    <w:p>
      <w:r>
        <w:t>En l'espèce, le recourant ne dispose que d'un droit de visite restreint sur son fils B.________ au gré des visites en prison et des sorties du week-end, qui seront certes plus fréquentes à l'avenir. Force est toutefois de constater qu'il a fait l'objet d'une condamnation pénale pour des actes odieux portant atteinte à un bien juridique particulièrement important, de sorte que l'intérêt public à l'éloignement du recourant l'emporte largement sur son intérêt privé à demeurer en Suisse. Dans ces conditions, l'instance précédente pouvait sans arbitraire ni violer l' art. 29 al. 2 Cst. renoncer à entendre la mère de l'enfant et le Service de protection de l'enfance pour examiner la nature des relations que le recourant soutient conserver avec son fils. Ce faisant, elle a correctement appliqué le droit fédéral et international en conformité avec la pratique du Tribunal fédéral. Il peut, donc pour le surplus, être renvoyé à ses considérants.</w:t>
      </w:r>
    </w:p>
    <w:p>
      <w:r>
        <w:rPr>
          <w:b/>
        </w:rPr>
        <w:t>E. 7</w:t>
      </w:r>
    </w:p>
    <w:p>
      <w:r>
        <w:t>Les considérants qui précèdent conduisent au rejet du recours. Dans la mesure où ses conclusions apparaissaient dénuées de chances de succès, le bénéfice de l'assistance judiciaire doit être refusé au recourant (cf. art. 64 al. 1 LTF ). Succombant, il supporte les frais judiciaires ( art. 66 al. 1 LTF ), qui seront toutefois fixés en tenant compte de sa situation financière,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