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505/2016 vom 30. Mai 2016</w:t>
      </w:r>
    </w:p>
    <w:p>
      <w:r>
        <w:t>Bundesgericht, 2016-05-30, IT</w:t>
      </w:r>
    </w:p>
    <w:p>
      <w:r>
        <w:rPr>
          <w:b/>
        </w:rPr>
        <w:t xml:space="preserve">Quelle: </w:t>
      </w:r>
      <w:r>
        <w:t>https://mcp.opencaselaw.ch/entscheid/bger_2C_505_2016</w:t>
      </w:r>
    </w:p>
    <w:p>
      <w:r>
        <w:t>FR: TF 2C 505/2016 du 30 mai 2016</w:t>
      </w:r>
    </w:p>
    <w:p>
      <w:r>
        <w:t>IT: TF 2C 505/2016 del 30 maggio 2016</w:t>
      </w:r>
    </w:p>
    <w:p>
      <w:pPr>
        <w:pStyle w:val="Heading2"/>
      </w:pPr>
      <w:r>
        <w:t>Regeste</w:t>
      </w:r>
    </w:p>
    <w:p>
      <w:r>
        <w:t>Carcerazione in vista di rinvio coatto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II Tribunale federale esamina d'ufficio e con piena cognizione la sua competenza ( art. 29 cpv. 1 LTF ) e l'ammissibilità dei gravami che gli vengono sottoposti ( DTF 139 V 42 consid. 1 pag. 44; 138 I 367 consid. 1 pag. 369).</w:t>
      </w:r>
    </w:p>
    <w:p>
      <w:r>
        <w:rPr>
          <w:b/>
        </w:rPr>
        <w:t>E. 2.1</w:t>
      </w:r>
    </w:p>
    <w:p>
      <w:r>
        <w:t>Conformemente all' art. 42 LTF il ricorso deve contenere le conclusioni, i motivi e l'indicazione dei mezzi di prova (cpv. 1) e dev'essere motivato in modo sufficiente, spiegando nei motivi perché l'atto impugnato viola il diritto (cpv. 2; DTF 133 II 249 consid. 1.4.1 pag. 254). Nell'allegato ricorsuale occorre quindi indicare in maniera concisa perché l'atto impugnato viola il diritto applicabile; la motivazione deve essere riferita all'oggetto del litigio, in modo che si capisca perché e su quali punti la decisione contestata è impugnata ( DTF 134 II 244 consid. 2.1 pag. 245.) Ciò significa che la parte ricorrente non può limitarsi a riproporre genericamente argomenti giuridici già esposti dinanzi alle autorità cantonali, bensì deve confrontarsi criticamente con i considerandi della decisione dell'autorità inferiore che reputa lesivi del diritto (cfr. DTF 121 III 397 consid. 2a pag. 400).</w:t>
      </w:r>
    </w:p>
    <w:p>
      <w:r>
        <w:rPr>
          <w:b/>
        </w:rPr>
        <w:t>E. 2.2</w:t>
      </w:r>
    </w:p>
    <w:p>
      <w:r>
        <w:t>Nel caso concreto il ricorso non adempie manifestamente queste esigenze, dato che non contiene alcuna motivazione. Il ricorrente si limita in effetti a dire che vuole chiedere ancora una volta asilo in Svizzera - aspetto che esula dall'oggetto del litigio ed è quindi inammissibile - che sta cercando di regolarizzare le sue condizioni di soggiorno in Francia e che è tornato in Svizzera solo su richiesta delle autorità svizzere, intenzionate a concedergli l'asilo, ciò che appare altamente inverosimile, la sua domanda d'asilo del 2012 essendo stata oggetto di una decisione di non entrata in materia. Egli tuttavia non spiega in che e perché l'esauriente motivazione sviluppata dal Tribunale cantonale amministrativo riguardo alla legalità e all'adeguatezza della sua carcerazione (cfr. sentenza cantonale consid. 3 pag. 4 seg.) violerebbe la legislazione federale determinante. Il ricorso, che non contiene alcuna motivazione topica riferita al tema della causa, si rivela quindi inammissibile e può essere deciso sulla base della procedura semplificata dell' art. 108 cpv. 1 lett. b LTF .</w:t>
      </w:r>
    </w:p>
    <w:p>
      <w:r>
        <w:rPr>
          <w:b/>
        </w:rPr>
        <w:t>E. 2.3</w:t>
      </w:r>
    </w:p>
    <w:p>
      <w:r>
        <w:t>A titolo del tutto abbondanziale va aggiunto che a prima vista il giudizio impugnato appare conforme al diritto e alla giurisprudenza federali. E che il ricorrente può porre termine alla sua detenzione non appena accetterà di collaborare all'ottenimento di documenti d'identità.</w:t>
      </w:r>
    </w:p>
    <w:p>
      <w:r>
        <w:rPr>
          <w:b/>
        </w:rPr>
        <w:t>E. 3</w:t>
      </w:r>
    </w:p>
    <w:p>
      <w:r>
        <w:t>Viste le particolarità della fattispecie, si rinuncia a prelevare spese giudiziarie (art. 66 cpv. 1 seconda frase LTF). Non si assegnano ripetibili ad autorità vincenti ( art. 68 cpv. 3 LTF ). La Sezione della popolazione viene invitata a controllare che la presente sentenza sia correttamente notificata al ricorrente e, se necessario, che gli venga tradotta.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