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2C_502/2016 vom 24. Mai 2017</w:t>
      </w:r>
    </w:p>
    <w:p>
      <w:r>
        <w:t>Bundesgericht, 2017-05-24, DE</w:t>
      </w:r>
    </w:p>
    <w:p>
      <w:r>
        <w:rPr>
          <w:b/>
        </w:rPr>
        <w:t xml:space="preserve">Quelle: </w:t>
      </w:r>
      <w:r>
        <w:t>https://mcp.opencaselaw.ch/entscheid/bger_2C_502_2016</w:t>
      </w:r>
    </w:p>
    <w:p>
      <w:r>
        <w:t>FR: TF 2C_502/2016 du 24 mai 2017</w:t>
      </w:r>
    </w:p>
    <w:p>
      <w:r>
        <w:t>IT: TF 2C_502/2016 del 24 maggio 2017</w:t>
      </w:r>
    </w:p>
    <w:p>
      <w:pPr>
        <w:pStyle w:val="Heading2"/>
      </w:pPr>
      <w:r>
        <w:t>Erwägungen</w:t>
      </w:r>
    </w:p>
    <w:p>
      <w:r>
        <w:rPr>
          <w:b/>
        </w:rPr>
        <w:t>E. 1.1</w:t>
      </w:r>
    </w:p>
    <w:p>
      <w:r>
        <w:t>Das Bundesgericht prüft von Amtes wegen, ob die Voraussetzungen für ein Eintreten auf eine Beschwerde gegeben sind ( Art. 29 Abs. 1 BGG ).</w:t>
      </w:r>
    </w:p>
    <w:p>
      <w:r>
        <w:rPr>
          <w:b/>
        </w:rPr>
        <w:t>E. 1.2</w:t>
      </w:r>
    </w:p>
    <w:p>
      <w:r>
        <w:t>Die Beschwerdeführer haben frist- ( Art. 100 Abs. 1 BGG ) und formgerecht ( Art. 42 BGG ) eine Beschwerde in öffentlich-rechtlichen Angelegenheiten eingereicht. Sie richtet sich gegen einen Endentscheid ( Art. 90 BGG ) einer letzten kantonalen Instanz auf dem Gebiet der direkten Kantons- und Gemeindesteuern. Die Beschwerde in öffentlich-rechtlichen Angelegenheiten ist zulässig ( Art. 82 lit. a, Art. 86 Abs. 1 lit. d BGG in Verbindung mit Art. 73 des Bundesgesetzes über die Harmonisierung der direkten Steuern der Kantone und Gemeinden vom 14. Dezember 1990 [StHG; SR 642.14] ). Sie beschränkt sich auf die direkten Kantons- und Gemeindesteuern der Steuerperiode 2007 und erfasst die nach Steuerhoheit und Verfahren davon zu differenzierende (vgl. BGE 135 II 260 E. 1.3.1 S. 262) direkte Bundessteuer derselben Steuerperiode nicht.</w:t>
      </w:r>
    </w:p>
    <w:p>
      <w:r>
        <w:rPr>
          <w:b/>
        </w:rPr>
        <w:t>E. 1.3.1</w:t>
      </w:r>
    </w:p>
    <w:p>
      <w:r>
        <w:t>Zur Beschwerdeführung legitimiert ist, wer am vorinstanzlichen Verfahren teilgenommen hat, mit seinen Anträgen unterlegen ist und somit ein schutzwürdiges Interesse an der Aufhebung oder Abänderung des angefochtenen Urteils hat ( Art. 89 Abs. 1 BGG ). Dafür muss aber insbesondere eine materielle Beschwer vorliegen, d.h. der angefochtene Entscheid muss die Partei in ihrer Rechtsstellung treffen, für sie in ihrer rechtlichen Wirkung nachteilig sein, und die Partei muss deshalb an der Abänderung interessiert sein ( BGE 120 II 5 E. 2a S. 8; Urteil 5C.255/2004 vom 15. März 2005 E. 1.3).</w:t>
      </w:r>
    </w:p>
    <w:p>
      <w:r>
        <w:rPr>
          <w:b/>
        </w:rPr>
        <w:t>E. 1.3.2</w:t>
      </w:r>
    </w:p>
    <w:p>
      <w:r>
        <w:t>Die Vorinstanz hat im angefochtenen Urteil erwogen, mit Bezug auf die beiden Parzellen</w:t>
      </w:r>
    </w:p>
    <w:p>
      <w:r>
        <w:t>Nr. yyy und</w:t>
      </w:r>
    </w:p>
    <w:p>
      <w:r>
        <w:t>Nr. zzz könne trotz ausdrücklicher Parteierklärung nicht davon ausgegangen werden, dass diese beiden damals unüberbauten Liegenschaften in der Steuerperiode 2007 ins Privatvermögen überführt worden seien. Diese beiden Liegenschaften hätten vielmehr zum Liegenschaftshandelsbestand des Beschwerdeführers gehört, was auch dadurch bestätigt werde, dass sie 2009 veräussert worden seien. Dieser in der Steuerperiode 2009 erfolgte Verkauf zähle noch zur Tätigkeit des Beschwerdeführers als Liegenschaftenhändler. Mit Bezug auf diese beiden Parzellen</w:t>
      </w:r>
    </w:p>
    <w:p>
      <w:r>
        <w:t>Nr. yyy und</w:t>
      </w:r>
    </w:p>
    <w:p>
      <w:r>
        <w:t>Nr. zzz sei es somit in der Steuerperiode 2007 zu keiner Überführung ins Privatvermögen gekommen. Die Vorinstanz erwog, der bei ihr angefochtene, die Steuerperiode 2007 betreffende Entscheid sei insoweit ersatzlos aufzuheben, und wies in einer weiteren Erwägung die Steuerkommission F.________ an, den für die Steuerperiode 2009 mit der Einkommenssteuer zu erfassende Gewinn zu ermitteln. In teilweiser Gutheissung der Beschwerde hat die Vorinstanz das steuerbare Einkommen der Beschwerdeführer (Veranlagung 2007) eines Kapitalgewinns gemäss § 45 Abs. 1 lit. f des Steuergesetzes des Kantons Aargau vom 15. Dezember 1998 [StG/AG; SAR 651.100] auf Fr. 1'210'483.-- festgesetzt; dieser Kapitalgewinn betrifft jedoch bloss die Parzellen</w:t>
      </w:r>
    </w:p>
    <w:p>
      <w:r>
        <w:t>Nr. www und xxx (vgl. angefochtenes Urteil, E. 4).</w:t>
      </w:r>
    </w:p>
    <w:p>
      <w:r>
        <w:rPr>
          <w:b/>
        </w:rPr>
        <w:t>E. 1.3.3</w:t>
      </w:r>
    </w:p>
    <w:p>
      <w:r>
        <w:t>Auf die Beschwerde der Beschwerdeführer gegen das angefochtene Urteil kann insofern nicht eingetreten werden, als es die Parzellen</w:t>
      </w:r>
    </w:p>
    <w:p>
      <w:r>
        <w:t>Nr. yyy und</w:t>
      </w:r>
    </w:p>
    <w:p>
      <w:r>
        <w:t>Nr. zzz betrifft. Streitgegenstand (vgl. dazu BGE 136 II 165 E. 5 S. 174; Urteile 2C_961/2013 vom 29. April 2014 E. 3.3; 2C_930/2012 vom 10. Januar 2013 E. 1.1) ist nur die Steuerperiode 2007. Die Vorinstanz hat im angefochtenen Urteil erkannt, bezüglich dieser Parzellen sei in der Steuerperiode 2007 kein Überführungsgewinn zu besteuern. Die Beschwerdeführer sind in diesem Punkt durch das angefochtene Urteil materiell nicht beschwert: Sie sind mit ihren Anträgen im vorinstanzlichen Verfahrens deswegen vollumfänglich durchgedrungen, weil die Vorinstanz das bei ihr angefochtene Urteil in diesem Punkt ersatzlos aufhob (angefochtenes Urteil, E. 3.3 in fine). Für die über den Streitgegenstand hinausgehende Anweisung an die Steuerkommission F.________, der aus dem Verkauf dieser Parzellen resultierende, in der Steuerperiode 2009 einkommenssteuerlich relevante Gewinn sei zu erfassen (angefochtenes Urteil, E. 3.4.1), war die Vorinstanz funktionell nicht zuständig, weshalb dieser vorinstanzlichen Anweisung keinerlei rechtliche Verbindlichkeit zukommt ( BGE 139 II 243 E. 11.2 S. 260; 132 II 21 E. 3.1 S. 27). Das Nichteintreten auf die Beschwerde in diesem Punkt präjudiziert allerdings ein allfälliges Vorgehen von Amtes wegen seitens der Steuerkommission F.________ in keiner Weise.</w:t>
      </w:r>
    </w:p>
    <w:p>
      <w:r>
        <w:rPr>
          <w:b/>
        </w:rPr>
        <w:t>E. 1.3.4</w:t>
      </w:r>
    </w:p>
    <w:p>
      <w:r>
        <w:t>Einzutreten ist jedoch auf die Anträge der Beschwerdeführer insofern sie den in Dispositivziffer 1 des angefochtenen Urteils festgesetzten Steuerfaktor Einkommen (Kapitalgewinn aus Überführung von Geschäftsvermögen [Parzellen Nr. www und Nr. xxx] in das Privatvermögen der Beschwerdeführer) betrifft. In diesem Punkt haben sie ein schutzwürdiges Interesse an der Aufhebung oder Abänderung des angefochtenen Urteils.</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1.5</w:t>
      </w:r>
    </w:p>
    <w:p>
      <w:r>
        <w:t>Das Bundesgericht legt seinem Urteil den von der Vorinstanz festgestellten Sachverhalt zu Grunde ( Art. 105 Abs. 1, Art. 112 Abs. 1 lit. b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bzw. mit Art. 9 BV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135 II 145 E. 8.2 S. 153; 134 V 53 E. 4.3 S. 62; YVES DONZALLAZ, Loi sur le Tribunal fédéral, Commentaire, N. 3759 zu Art. 97 BGG , N. 4468 zu Art. 112 BGG ).</w:t>
      </w:r>
    </w:p>
    <w:p>
      <w:r>
        <w:rPr>
          <w:b/>
        </w:rPr>
        <w:t>E. 2</w:t>
      </w:r>
    </w:p>
    <w:p>
      <w:r>
        <w:t>Hinsichtlich der Parzellen</w:t>
      </w:r>
    </w:p>
    <w:p>
      <w:r>
        <w:t>Nr. www und</w:t>
      </w:r>
    </w:p>
    <w:p>
      <w:r>
        <w:t>Nr. xxx rügen die Beschwerdeführer, beide Parzellen hätten bis zur Hofübergabe im Jahr 2007 betrieblichen, d.h. landwirtschaftlichen Zwecken, gedient, was auch die Vorinstanz nicht in Abrede gestellt habe. In steuersystematischer Hinsicht hätte somit die Überführung vom (landwirtschaftlichen) Geschäftsvermögen in das Privatvermögen der Beschwerdeführer nach den Grundsätzen vorgenommen werden müssen, welche für land- und forstwirtschaftliche Grundstücke ( Art. 12 Abs. 1 StHG ) gelten würden. Die Rechtsauffassung der Vorinstanz, wonach Grundstücke im Baugebiet automatisch nicht mehr dem Bundesgesetz vom 4. Oktober 1991 über das bäuerliche Bodenrecht (BGBB; SR 211.412.11) unterstehen würden, sei falsch.</w:t>
      </w:r>
    </w:p>
    <w:p>
      <w:r>
        <w:rPr>
          <w:b/>
        </w:rPr>
        <w:t>E. 2.1</w:t>
      </w:r>
    </w:p>
    <w:p>
      <w:r>
        <w:t>Im Rahmen des Einkommens aus selbstständiger Erwerbstätigkeit werden Gewinne aus dem Verkauf von land- und forstwirtschaftlichen Grundstücken auf Bundesebene nur bis zur Höhe der Anlagekosten der Einkommenssteuer unterworfen ( Art. 18 Abs. 1 und Abs. 4 DBG ); der Wertzuwachsgewinn bleibt - wie bei Kapitalgewinnen des Privatvermögens ( Art. 16 Abs. 3 DBG ) - steuerfrei (FELIX RICHNER, Landwirtschaftliche Grundstücke im Recht der harmonisierten Steuern, ZStP 4/2012 S. 295). Auf Kantonsebene werden die Gewinne ebenfalls bis zur Höhe der Anlagekosten mit der Einkommenssteuer besteuert ( Art. 8 Abs. 1 StHG ); der Wertzuwachsgewinn wird wie bei natürlichen Personen ohne Geschäftsvermögen von der Grundstückgewinnsteuer erfasst ( Art. 12 Abs. 1 StHG ; RICHNER, a.a.O., S. 294 f.; Botschaft des Bundesrates über die Besteuerung land- und forstwirtschaftlicher Grundstücke vom 11. März 2016 [zit. Botschaft land- und forstwirtschaftliche Grundstücke], BBl 2016 1823 f.).</w:t>
      </w:r>
    </w:p>
    <w:p>
      <w:r>
        <w:rPr>
          <w:b/>
        </w:rPr>
        <w:t>E. 2.2</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2C_873/2011 vom 22. Oktober 2012 E. 5.1; 2C_539/2010 vom 15. Dezember 2010 E. 3.2; vgl. zur Kritik an dieser Rechtsprechung RICHNER, a.a.O., S. 288). Die steuerliche Privilegierung von landwirtschaftlichen Grundstücken im Sinne von Art. 12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(SALZMANN, a.a.O., S. 9).</w:t>
      </w:r>
    </w:p>
    <w:p>
      <w:r>
        <w:rPr>
          <w:b/>
        </w:rPr>
        <w:t>E. 2.3</w:t>
      </w:r>
    </w:p>
    <w:p>
      <w:r>
        <w:t>Die Vorinstanz hat erwogen (angefochtenes Urteil, E. 4.1), hinsichtlich der Parzellen</w:t>
      </w:r>
    </w:p>
    <w:p>
      <w:r>
        <w:t>Nr. www und</w:t>
      </w:r>
    </w:p>
    <w:p>
      <w:r>
        <w:t>Nr. xxx könne nicht davon ausgegangen werden, dass diese vor der Hofübergabe im Jahr 2007 vom "normalen" landwirtschaftlichen Geschäftsvermögen ins "Liegenschaftenhändlergeschäftsvermögen" überführt worden seien; die steuersystematische Realisierung sei demnach im Jahr 2007 erfolgt. Zu diesem Zeitpunkt hätten die betreffenden, in der Bauzone liegenden Grundstücke die Voraussetzung von Art. 2 Abs. 2 lit. a BGBB - Grundstücke und Grundstücksteile mit</w:t>
      </w:r>
    </w:p>
    <w:p>
      <w:r>
        <w:t>landwirtschaftlichen Gebäuden und Anlagen, einschliesslich angemessenen Umschwungs, die in einer Bauzone liegen und zu einem landwirtschaftlichen Gewerbe gehören - deswegen nicht mehr erfüllt, weil es sich bei den darauf erstellten Gebäuden gemäss eigenen Angaben des Steuerpflichtigen im Kaufvertrag vom 6. November 2007 nicht (mehr) um solche landwirtschaftlicher Art gehandelt habe. Aus diesem Grund erweise sich eine Besteuerung eines im Zusammenhang mit der Überführung dieser Liegenschaften ins Privatvermögen erzielten Kapitalgewinnes gemäss § 45 Abs. 1 lit. f StG /AG (und nicht nach Art. 12 Abs. 1 StHG in Verbindung mit § 27 Abs. 4 StG /AG) als zutreffend.</w:t>
      </w:r>
    </w:p>
    <w:p>
      <w:r>
        <w:rPr>
          <w:b/>
        </w:rPr>
        <w:t>E. 2.4</w:t>
      </w:r>
    </w:p>
    <w:p>
      <w:r>
        <w:t>Die Parzellen</w:t>
      </w:r>
    </w:p>
    <w:p>
      <w:r>
        <w:t>Nr. www und</w:t>
      </w:r>
    </w:p>
    <w:p>
      <w:r>
        <w:t>Nr. xxx wurden unstrittig anlässlich der Hofübergabe im Jahr 2007 vom Geschäftsvermögen in das Privatvermögen überführt, weshalb ein steuerbarer Tatbestand in der Form eines Liquidationsgewinnes (definitive Überführung von Geschäftsvermögen in das Privatvermögen; Art. 8 Abs. 1 StHG ; Urteil 2C_708/2010 vom 28. Januar 2011 E. 2.5) vorliegt. Zu diesem Zeitpunkt wurden die sich auf den betreffenden Parzellen errichteten Gebäude gemäss den Angaben der Beschwerdeführer nicht mehr landwirtschaftlich genutzt. In Anwendung des Grundsatzes von Treu und Glauben ( Art. 9, Art. 5 Abs. 3 BV ) können die Beschwerdeführer im vorliegenden Beschwerdeverfahren nicht mehr auf ihre eigene Qualifikation als</w:t>
      </w:r>
    </w:p>
    <w:p>
      <w:r>
        <w:t>nicht landwirtschaftlich zurückkommen; eine nachträgliche Geltendmachung eines zuvor verworfenen Standpunktes liefe auf ein widersprüchliches Verhalten hinaus (venire contra factum proprium; Urteile 2C_929/2014 vom 10. August 2015 E. 2.4; 2C_446/2007 vom 22. Januar 2008 E. 3.1). Aus diesem Grund unterstanden die Parzellen im Zeitpunkt ihrer Überführung nicht formell dem BGBB (Art. 2 Abs. 2 lit. a</w:t>
      </w:r>
    </w:p>
    <w:p>
      <w:r>
        <w:t>e contrario BGBB), was nach herrschender bundesgerichtlicher Praxis (oben, E. 2.2) deren Qualifikation als land- und forstwirtschaftliche Grundstücke im Sinne von Art. 8 Abs. 1 und Art. 12 Abs. 1 StHG ausschliesst. Die Parzellen sind somit nicht privilegiert ( Art. 12 Abs. 1 StHG ; § 27 Abs. 4, § 106 StG /AG) zu besteuern; der Wertzuwachsgewinn unterliegt der Einkommensbesteuerung.</w:t>
      </w:r>
    </w:p>
    <w:p>
      <w:r>
        <w:rPr>
          <w:b/>
        </w:rPr>
        <w:t>E. 2.5</w:t>
      </w:r>
    </w:p>
    <w:p>
      <w:r>
        <w:t>Das aargauische Steuergesetz folgt im Grundsatz dem dualistischen System der Grundstückgewinnbesteuerung. Im dualistischen System wird der gesamte Kapitalgewinn auf Geschäftsvermögen mit der Einkommenssteuer belastet, dies in Abgrenzung zu monistischen Systemen, in welchen die wieder eingebrachten Abschreibungen mit der Einkommenssteuer, der Wertzuwachsgewinn hingegen mit der Grundstückgewinnsteuer erfasst werden (RICHNER, a.a.O., S. 304 f.; Botschaft land- und forstwirtschaftliche Grundstücke, BBl 2016 1825). Gemäss § 27 Abs. 2 StG /AG unterliegen insbesondere Gewinne aus der Veräusserung von Geschäftsliegenschaften (bzw. aus deren Überführung ins Privatvermögen) der Gewinn- oder Einkommenssteuer; von der Grundstückgewinnsteuer erfasst würden solche Veräusserungsgewinne nur, wenn sie nicht unter die Einkommens- oder Gewinnsteuer fielen ( § 95 Abs. 2 StG /AG; BGE 138 II 32 E. 2.1.1 S. 35). Die Besteuerung des anlässlich der Überführung der Parzellen</w:t>
      </w:r>
    </w:p>
    <w:p>
      <w:r>
        <w:t>Nr. www und</w:t>
      </w:r>
    </w:p>
    <w:p>
      <w:r>
        <w:t>Nr. xxx realisierten Liquidationsgewinne als Kapitalgewinn im Sinne von § 45 Abs. 1 lit. f StG /AG erweist sich somit als zutreffend. Auch eine nachträgliche Erfassung eines Teils des Gewinns mit der Grundstückgewinnsteuer, wie sie die Beschwerdeführer offenbar nach den Grundsätzen des Urteils 2C_708/2010 vom 28. Januar 2011 E. 2 vorschwebt, ist nicht am Platz, weil eine frühere Abrechnung auf Wunsch des Pflichtigen unterblieb (vorne lit. A; vgl. BGE 138 II 32 E. 2.4 S. 40). Die Beschwerde ist als unbegründet abzuweisen.</w:t>
      </w:r>
    </w:p>
    <w:p>
      <w:r>
        <w:rPr>
          <w:b/>
        </w:rPr>
        <w:t>E. 3</w:t>
      </w:r>
    </w:p>
    <w:p>
      <w:r>
        <w:t>Bei diesem Verfahrensausgang werden die Verfahrenskosten von Fr. 5'000.-- den Beschwerdeführern unter solidarischer Haftbarkeit auferlegt ( Art. 66 Abs. 1 und Abs.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